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8EC0" w14:textId="4BBA61B7" w:rsidR="001C18F2" w:rsidRPr="006130A7" w:rsidRDefault="001C18F2" w:rsidP="00056799">
      <w:pPr>
        <w:spacing w:before="0" w:after="240"/>
        <w:jc w:val="both"/>
      </w:pPr>
    </w:p>
    <w:p w14:paraId="7FAD1FEE" w14:textId="07EE9ECC" w:rsidR="001C18F2" w:rsidRPr="003D7074" w:rsidRDefault="005C1999" w:rsidP="00056799">
      <w:pPr>
        <w:pStyle w:val="Title"/>
        <w:jc w:val="both"/>
      </w:pPr>
      <w:r>
        <w:t>Fire Service Act Review</w:t>
      </w:r>
    </w:p>
    <w:p w14:paraId="1C10145B" w14:textId="77777777" w:rsidR="00E908BD" w:rsidRDefault="005C1999" w:rsidP="00E908BD">
      <w:pPr>
        <w:pStyle w:val="Subtitle"/>
        <w:spacing w:before="240"/>
        <w:jc w:val="both"/>
      </w:pPr>
      <w:r w:rsidRPr="005C1999">
        <w:t xml:space="preserve">Consultation </w:t>
      </w:r>
      <w:r w:rsidR="006D21B5">
        <w:t xml:space="preserve">Outcomes Report </w:t>
      </w:r>
      <w:r w:rsidRPr="005C1999">
        <w:t>on the Blake Review and Treasury Options Paper</w:t>
      </w:r>
      <w:r w:rsidR="00E908BD" w:rsidRPr="00E908BD">
        <w:t xml:space="preserve"> </w:t>
      </w:r>
    </w:p>
    <w:p w14:paraId="5AFD3E7A" w14:textId="0B717E89" w:rsidR="00E908BD" w:rsidRDefault="00E908BD" w:rsidP="00E908BD">
      <w:pPr>
        <w:pStyle w:val="Subtitle"/>
        <w:spacing w:before="240"/>
        <w:jc w:val="both"/>
      </w:pPr>
      <w:r>
        <w:t xml:space="preserve">Michael Stevens </w:t>
      </w:r>
    </w:p>
    <w:p w14:paraId="373C1C39" w14:textId="4052A251" w:rsidR="005C1999" w:rsidRPr="005C1999" w:rsidRDefault="005C1999" w:rsidP="00056799">
      <w:pPr>
        <w:pStyle w:val="Subtitle"/>
        <w:spacing w:before="240"/>
        <w:jc w:val="both"/>
      </w:pPr>
    </w:p>
    <w:p w14:paraId="7A44AA09" w14:textId="77777777" w:rsidR="005C1999" w:rsidRPr="005C1999" w:rsidRDefault="005C1999" w:rsidP="00056799">
      <w:pPr>
        <w:jc w:val="both"/>
      </w:pPr>
    </w:p>
    <w:p w14:paraId="668F911B" w14:textId="527EF11E" w:rsidR="001C18F2" w:rsidRDefault="001C18F2" w:rsidP="00056799">
      <w:pPr>
        <w:jc w:val="both"/>
      </w:pPr>
    </w:p>
    <w:p w14:paraId="36990A19" w14:textId="4044FDF2" w:rsidR="005B0C9A" w:rsidRDefault="005B0C9A" w:rsidP="00056799">
      <w:pPr>
        <w:jc w:val="both"/>
      </w:pPr>
    </w:p>
    <w:p w14:paraId="31CEFC1D" w14:textId="6A26EFF8" w:rsidR="005B0C9A" w:rsidRDefault="005B0C9A" w:rsidP="00056799">
      <w:pPr>
        <w:jc w:val="both"/>
      </w:pPr>
    </w:p>
    <w:p w14:paraId="72D0E132" w14:textId="37D442A4" w:rsidR="005B0C9A" w:rsidRDefault="005B0C9A" w:rsidP="00056799">
      <w:pPr>
        <w:jc w:val="both"/>
      </w:pPr>
    </w:p>
    <w:p w14:paraId="650D6637" w14:textId="54574A11" w:rsidR="005B0C9A" w:rsidRDefault="005B0C9A" w:rsidP="00056799">
      <w:pPr>
        <w:jc w:val="both"/>
      </w:pPr>
    </w:p>
    <w:p w14:paraId="33C14252" w14:textId="06C4C3C5" w:rsidR="005B0C9A" w:rsidRDefault="005B0C9A" w:rsidP="00056799">
      <w:pPr>
        <w:jc w:val="both"/>
      </w:pPr>
    </w:p>
    <w:p w14:paraId="45971C08" w14:textId="783071A9" w:rsidR="005B0C9A" w:rsidRDefault="005B0C9A" w:rsidP="00056799">
      <w:pPr>
        <w:jc w:val="both"/>
      </w:pPr>
    </w:p>
    <w:p w14:paraId="758559B3" w14:textId="62909A80" w:rsidR="005B0C9A" w:rsidRDefault="005B0C9A" w:rsidP="00056799">
      <w:pPr>
        <w:jc w:val="both"/>
      </w:pPr>
    </w:p>
    <w:p w14:paraId="60840ECB" w14:textId="3DEA0A45" w:rsidR="005B0C9A" w:rsidRDefault="005B0C9A" w:rsidP="00056799">
      <w:pPr>
        <w:jc w:val="both"/>
      </w:pPr>
    </w:p>
    <w:p w14:paraId="5698BD1A" w14:textId="4A702277" w:rsidR="005B0C9A" w:rsidRDefault="005B0C9A" w:rsidP="00056799">
      <w:pPr>
        <w:jc w:val="both"/>
      </w:pPr>
    </w:p>
    <w:p w14:paraId="4AE70642" w14:textId="71CDA1E2" w:rsidR="005B0C9A" w:rsidRDefault="005B0C9A" w:rsidP="00056799">
      <w:pPr>
        <w:jc w:val="both"/>
      </w:pPr>
    </w:p>
    <w:p w14:paraId="78C84233" w14:textId="5E144BD2" w:rsidR="005B0C9A" w:rsidRDefault="005B0C9A" w:rsidP="00056799">
      <w:pPr>
        <w:jc w:val="both"/>
      </w:pPr>
    </w:p>
    <w:p w14:paraId="4BADA369" w14:textId="746CF19B" w:rsidR="005B0C9A" w:rsidRDefault="005B0C9A" w:rsidP="00056799">
      <w:pPr>
        <w:jc w:val="both"/>
      </w:pPr>
    </w:p>
    <w:p w14:paraId="127DB994" w14:textId="478E3893" w:rsidR="005B0C9A" w:rsidRDefault="005B0C9A" w:rsidP="00056799">
      <w:pPr>
        <w:jc w:val="both"/>
      </w:pPr>
    </w:p>
    <w:p w14:paraId="361D2EB7" w14:textId="406C0CBC" w:rsidR="005B0C9A" w:rsidRDefault="005B0C9A" w:rsidP="00056799">
      <w:pPr>
        <w:jc w:val="both"/>
      </w:pPr>
    </w:p>
    <w:p w14:paraId="0C316450" w14:textId="637BC722" w:rsidR="005B0C9A" w:rsidRDefault="005B0C9A" w:rsidP="00056799">
      <w:pPr>
        <w:jc w:val="both"/>
      </w:pPr>
    </w:p>
    <w:p w14:paraId="1E93419D" w14:textId="344F3BA3" w:rsidR="005B0C9A" w:rsidRDefault="005B0C9A" w:rsidP="00056799">
      <w:pPr>
        <w:jc w:val="both"/>
      </w:pPr>
    </w:p>
    <w:p w14:paraId="5EAF9D40" w14:textId="583C5853" w:rsidR="005B0C9A" w:rsidRDefault="005B0C9A" w:rsidP="00056799">
      <w:pPr>
        <w:jc w:val="both"/>
      </w:pPr>
    </w:p>
    <w:p w14:paraId="1E155E77" w14:textId="38B6D480" w:rsidR="005B0C9A" w:rsidRDefault="005B0C9A" w:rsidP="00056799">
      <w:pPr>
        <w:jc w:val="both"/>
      </w:pPr>
    </w:p>
    <w:p w14:paraId="5902F470" w14:textId="111DEA79" w:rsidR="005B0C9A" w:rsidRDefault="005B0C9A" w:rsidP="00056799">
      <w:pPr>
        <w:jc w:val="both"/>
      </w:pPr>
    </w:p>
    <w:p w14:paraId="43B8D6C2" w14:textId="77777777" w:rsidR="005B0C9A" w:rsidRDefault="005B0C9A" w:rsidP="00056799">
      <w:pPr>
        <w:jc w:val="both"/>
        <w:rPr>
          <w:rFonts w:eastAsiaTheme="minorEastAsia"/>
          <w:color w:val="000000" w:themeColor="text1"/>
          <w:spacing w:val="15"/>
          <w:sz w:val="36"/>
          <w:szCs w:val="22"/>
        </w:rPr>
      </w:pPr>
    </w:p>
    <w:p w14:paraId="2CBE94D2" w14:textId="77777777" w:rsidR="00BE56F0" w:rsidRDefault="00BE56F0" w:rsidP="00056799">
      <w:pPr>
        <w:spacing w:before="1320"/>
        <w:jc w:val="both"/>
      </w:pPr>
    </w:p>
    <w:p w14:paraId="4848C6B1" w14:textId="398C4C98" w:rsidR="00B717BA" w:rsidRPr="005D1990" w:rsidRDefault="00617410" w:rsidP="00056799">
      <w:pPr>
        <w:jc w:val="both"/>
        <w:rPr>
          <w:rFonts w:ascii="Arial" w:hAnsi="Arial" w:cs="Arial"/>
        </w:rPr>
      </w:pPr>
      <w:r w:rsidRPr="005D1990">
        <w:rPr>
          <w:rFonts w:ascii="Arial" w:hAnsi="Arial" w:cs="Arial"/>
        </w:rPr>
        <w:t xml:space="preserve">The </w:t>
      </w:r>
      <w:r w:rsidR="001C18F2" w:rsidRPr="005D1990">
        <w:rPr>
          <w:rFonts w:ascii="Arial" w:hAnsi="Arial" w:cs="Arial"/>
        </w:rPr>
        <w:t>A</w:t>
      </w:r>
      <w:r w:rsidR="00B717BA" w:rsidRPr="005D1990">
        <w:rPr>
          <w:rFonts w:ascii="Arial" w:hAnsi="Arial" w:cs="Arial"/>
        </w:rPr>
        <w:t>uth</w:t>
      </w:r>
      <w:r w:rsidR="0083560F" w:rsidRPr="005D1990">
        <w:rPr>
          <w:rFonts w:ascii="Arial" w:hAnsi="Arial" w:cs="Arial"/>
        </w:rPr>
        <w:t>or</w:t>
      </w:r>
    </w:p>
    <w:p w14:paraId="2A3625B1" w14:textId="47233A97" w:rsidR="0008220E" w:rsidRPr="005D1990" w:rsidRDefault="00B717BA" w:rsidP="00056799">
      <w:pPr>
        <w:jc w:val="both"/>
        <w:rPr>
          <w:rFonts w:ascii="Arial" w:hAnsi="Arial" w:cs="Arial"/>
        </w:rPr>
      </w:pPr>
      <w:r w:rsidRPr="005D1990">
        <w:rPr>
          <w:rFonts w:ascii="Arial" w:hAnsi="Arial" w:cs="Arial"/>
        </w:rPr>
        <w:t xml:space="preserve">Mr Michael Stevens is an experienced policy professional who undertook the role of Bushfire Recovery Coordinator for the devastating Bushfires in 2013 and 2019. </w:t>
      </w:r>
    </w:p>
    <w:p w14:paraId="77341BB7" w14:textId="6AF4ED01" w:rsidR="0008220E" w:rsidRPr="005D1990" w:rsidRDefault="00B717BA" w:rsidP="00056799">
      <w:pPr>
        <w:jc w:val="both"/>
        <w:rPr>
          <w:rFonts w:ascii="Arial" w:hAnsi="Arial" w:cs="Arial"/>
        </w:rPr>
      </w:pPr>
      <w:r w:rsidRPr="005D1990">
        <w:rPr>
          <w:rFonts w:ascii="Arial" w:hAnsi="Arial" w:cs="Arial"/>
        </w:rPr>
        <w:t>Mr Stevens has formerly held the roles of Deputy Secretary with the Department of Premier and Cabinet and Department of Justice amongst many other positions held across a distinguished career in the Tasmanian Public Service.</w:t>
      </w:r>
      <w:r w:rsidR="0008220E" w:rsidRPr="005D1990">
        <w:rPr>
          <w:rFonts w:ascii="Arial" w:hAnsi="Arial" w:cs="Arial"/>
        </w:rPr>
        <w:t xml:space="preserve"> </w:t>
      </w:r>
    </w:p>
    <w:p w14:paraId="1D6FEBB9" w14:textId="7F6A96BC" w:rsidR="0008220E" w:rsidRPr="005D1990" w:rsidRDefault="00B717BA" w:rsidP="00056799">
      <w:pPr>
        <w:jc w:val="both"/>
        <w:rPr>
          <w:rFonts w:ascii="Arial" w:hAnsi="Arial" w:cs="Arial"/>
        </w:rPr>
      </w:pPr>
      <w:r w:rsidRPr="005D1990">
        <w:rPr>
          <w:rFonts w:ascii="Arial" w:hAnsi="Arial" w:cs="Arial"/>
        </w:rPr>
        <w:t xml:space="preserve">Mr Stevens has undertaken targeted consultation on the Blake Review and Treasury Options </w:t>
      </w:r>
      <w:r w:rsidR="0008220E" w:rsidRPr="005D1990">
        <w:rPr>
          <w:rFonts w:ascii="Arial" w:hAnsi="Arial" w:cs="Arial"/>
        </w:rPr>
        <w:t>P</w:t>
      </w:r>
      <w:r w:rsidRPr="005D1990">
        <w:rPr>
          <w:rFonts w:ascii="Arial" w:hAnsi="Arial" w:cs="Arial"/>
        </w:rPr>
        <w:t xml:space="preserve">aper in order to produce this report. The report has been produced for the Department of Police, Fire and Emergency Management and subsequent consideration by Government. </w:t>
      </w:r>
    </w:p>
    <w:p w14:paraId="2D6A5B49" w14:textId="4F9A56B7" w:rsidR="00B717BA" w:rsidRPr="005D1990" w:rsidRDefault="00B717BA" w:rsidP="00056799">
      <w:pPr>
        <w:jc w:val="both"/>
        <w:rPr>
          <w:rFonts w:ascii="Arial" w:hAnsi="Arial" w:cs="Arial"/>
        </w:rPr>
      </w:pPr>
      <w:r w:rsidRPr="005D1990">
        <w:rPr>
          <w:rFonts w:ascii="Arial" w:hAnsi="Arial" w:cs="Arial"/>
        </w:rPr>
        <w:t xml:space="preserve">In producing the report, </w:t>
      </w:r>
      <w:r w:rsidR="00E908BD" w:rsidRPr="005D1990">
        <w:rPr>
          <w:rFonts w:ascii="Arial" w:hAnsi="Arial" w:cs="Arial"/>
        </w:rPr>
        <w:t xml:space="preserve">some </w:t>
      </w:r>
      <w:r w:rsidR="002E380F" w:rsidRPr="005D1990">
        <w:rPr>
          <w:rFonts w:ascii="Arial" w:hAnsi="Arial" w:cs="Arial"/>
        </w:rPr>
        <w:t>e</w:t>
      </w:r>
      <w:r w:rsidRPr="005D1990">
        <w:rPr>
          <w:rFonts w:ascii="Arial" w:hAnsi="Arial" w:cs="Arial"/>
        </w:rPr>
        <w:t>diting and style writing has been provided by the Department.   </w:t>
      </w:r>
    </w:p>
    <w:p w14:paraId="6928A23C" w14:textId="77777777" w:rsidR="00B717BA" w:rsidRDefault="00B717BA" w:rsidP="00056799">
      <w:pPr>
        <w:jc w:val="both"/>
      </w:pPr>
    </w:p>
    <w:p w14:paraId="64402855" w14:textId="77777777" w:rsidR="00B717BA" w:rsidRDefault="00B717BA" w:rsidP="00056799">
      <w:pPr>
        <w:jc w:val="both"/>
      </w:pPr>
    </w:p>
    <w:p w14:paraId="6431DEA5" w14:textId="77777777" w:rsidR="00B717BA" w:rsidRDefault="00B717BA" w:rsidP="00056799">
      <w:pPr>
        <w:jc w:val="both"/>
      </w:pPr>
    </w:p>
    <w:p w14:paraId="1F52DD56" w14:textId="77777777" w:rsidR="00B717BA" w:rsidRDefault="00B717BA" w:rsidP="00056799">
      <w:pPr>
        <w:jc w:val="both"/>
      </w:pPr>
    </w:p>
    <w:p w14:paraId="3D628614" w14:textId="77777777" w:rsidR="00B717BA" w:rsidRDefault="00B717BA" w:rsidP="00056799">
      <w:pPr>
        <w:jc w:val="both"/>
      </w:pPr>
    </w:p>
    <w:p w14:paraId="0D1776C0" w14:textId="77777777" w:rsidR="00B717BA" w:rsidRDefault="00B717BA" w:rsidP="00056799">
      <w:pPr>
        <w:jc w:val="both"/>
      </w:pPr>
    </w:p>
    <w:p w14:paraId="4383D30B" w14:textId="77777777" w:rsidR="00B717BA" w:rsidRDefault="00B717BA" w:rsidP="00056799">
      <w:pPr>
        <w:jc w:val="both"/>
      </w:pPr>
    </w:p>
    <w:p w14:paraId="144A5166" w14:textId="77777777" w:rsidR="00B717BA" w:rsidRDefault="00B717BA" w:rsidP="00056799">
      <w:pPr>
        <w:jc w:val="both"/>
      </w:pPr>
    </w:p>
    <w:p w14:paraId="13369D6E" w14:textId="77777777" w:rsidR="00B717BA" w:rsidRDefault="00B717BA" w:rsidP="00056799">
      <w:pPr>
        <w:jc w:val="both"/>
      </w:pPr>
    </w:p>
    <w:p w14:paraId="75730721" w14:textId="77777777" w:rsidR="00B717BA" w:rsidRDefault="00B717BA" w:rsidP="00056799">
      <w:pPr>
        <w:jc w:val="both"/>
      </w:pPr>
    </w:p>
    <w:p w14:paraId="631977AA" w14:textId="77777777" w:rsidR="00B717BA" w:rsidRDefault="00B717BA" w:rsidP="00056799">
      <w:pPr>
        <w:jc w:val="both"/>
      </w:pPr>
    </w:p>
    <w:p w14:paraId="58CADC23" w14:textId="77777777" w:rsidR="00B717BA" w:rsidRDefault="00B717BA" w:rsidP="00056799">
      <w:pPr>
        <w:jc w:val="both"/>
      </w:pPr>
    </w:p>
    <w:p w14:paraId="14438627" w14:textId="77777777" w:rsidR="00B717BA" w:rsidRDefault="00B717BA" w:rsidP="00056799">
      <w:pPr>
        <w:jc w:val="both"/>
      </w:pPr>
    </w:p>
    <w:p w14:paraId="360B3A45" w14:textId="77777777" w:rsidR="00B717BA" w:rsidRDefault="00B717BA" w:rsidP="00056799">
      <w:pPr>
        <w:jc w:val="both"/>
      </w:pPr>
    </w:p>
    <w:p w14:paraId="1E65DA3E" w14:textId="77777777" w:rsidR="00B717BA" w:rsidRDefault="00B717BA" w:rsidP="00056799">
      <w:pPr>
        <w:jc w:val="both"/>
      </w:pPr>
    </w:p>
    <w:p w14:paraId="7942F6D5" w14:textId="77777777" w:rsidR="00B717BA" w:rsidRDefault="00B717BA" w:rsidP="00056799">
      <w:pPr>
        <w:jc w:val="both"/>
      </w:pPr>
    </w:p>
    <w:p w14:paraId="402CCB56" w14:textId="77777777" w:rsidR="00B717BA" w:rsidRDefault="00B717BA" w:rsidP="00056799">
      <w:pPr>
        <w:jc w:val="both"/>
      </w:pPr>
    </w:p>
    <w:p w14:paraId="5D49CABC" w14:textId="77777777" w:rsidR="00B717BA" w:rsidRDefault="00B717BA" w:rsidP="00056799">
      <w:pPr>
        <w:jc w:val="both"/>
      </w:pPr>
    </w:p>
    <w:p w14:paraId="4F8E3E0A" w14:textId="6633E656" w:rsidR="001C18F2" w:rsidRPr="005D1990" w:rsidRDefault="001C18F2" w:rsidP="00056799">
      <w:pPr>
        <w:jc w:val="both"/>
        <w:rPr>
          <w:rFonts w:ascii="Arial" w:hAnsi="Arial" w:cs="Arial"/>
        </w:rPr>
      </w:pPr>
      <w:r w:rsidRPr="005D1990">
        <w:rPr>
          <w:rFonts w:ascii="Arial" w:hAnsi="Arial" w:cs="Arial"/>
        </w:rPr>
        <w:t>Publisher:</w:t>
      </w:r>
      <w:r w:rsidRPr="005D1990">
        <w:rPr>
          <w:rFonts w:ascii="Arial" w:hAnsi="Arial" w:cs="Arial"/>
        </w:rPr>
        <w:br/>
      </w:r>
      <w:r w:rsidR="0076135F" w:rsidRPr="005D1990">
        <w:rPr>
          <w:rFonts w:ascii="Arial" w:hAnsi="Arial" w:cs="Arial"/>
        </w:rPr>
        <w:t>Department of Police, Fire and Emergency Management</w:t>
      </w:r>
    </w:p>
    <w:p w14:paraId="4CE337EC" w14:textId="165BC1C4" w:rsidR="001C18F2" w:rsidRPr="005D1990" w:rsidRDefault="001C18F2" w:rsidP="00056799">
      <w:pPr>
        <w:jc w:val="both"/>
        <w:rPr>
          <w:rFonts w:ascii="Arial" w:hAnsi="Arial" w:cs="Arial"/>
        </w:rPr>
      </w:pPr>
      <w:r w:rsidRPr="005D1990">
        <w:rPr>
          <w:rFonts w:ascii="Arial" w:hAnsi="Arial" w:cs="Arial"/>
        </w:rPr>
        <w:t>Date:</w:t>
      </w:r>
      <w:r w:rsidRPr="005D1990">
        <w:rPr>
          <w:rFonts w:ascii="Arial" w:hAnsi="Arial" w:cs="Arial"/>
        </w:rPr>
        <w:br/>
      </w:r>
      <w:r w:rsidR="005B0C9A" w:rsidRPr="005D1990">
        <w:rPr>
          <w:rFonts w:ascii="Arial" w:hAnsi="Arial" w:cs="Arial"/>
        </w:rPr>
        <w:t xml:space="preserve">October </w:t>
      </w:r>
      <w:r w:rsidR="00AD67D4" w:rsidRPr="005D1990">
        <w:rPr>
          <w:rFonts w:ascii="Arial" w:hAnsi="Arial" w:cs="Arial"/>
        </w:rPr>
        <w:t>2022</w:t>
      </w:r>
    </w:p>
    <w:p w14:paraId="1E6E87E0" w14:textId="77777777" w:rsidR="00164658" w:rsidRPr="005D1990" w:rsidRDefault="001C18F2" w:rsidP="00056799">
      <w:pPr>
        <w:jc w:val="both"/>
        <w:rPr>
          <w:rFonts w:ascii="Arial" w:hAnsi="Arial" w:cs="Arial"/>
        </w:rPr>
      </w:pPr>
      <w:r w:rsidRPr="005D1990">
        <w:rPr>
          <w:rFonts w:ascii="Arial" w:hAnsi="Arial" w:cs="Arial"/>
        </w:rPr>
        <w:t>© Crown in Right of the State of Tasmania December 2019</w:t>
      </w:r>
    </w:p>
    <w:p w14:paraId="12E5B495" w14:textId="114D77F9" w:rsidR="00164658" w:rsidRDefault="00164658" w:rsidP="00056799">
      <w:pPr>
        <w:spacing w:before="0" w:after="0"/>
        <w:jc w:val="both"/>
      </w:pPr>
      <w:r>
        <w:br w:type="page"/>
      </w:r>
    </w:p>
    <w:p w14:paraId="640035A4" w14:textId="77777777" w:rsidR="00164658" w:rsidRDefault="00164658" w:rsidP="00056799">
      <w:pPr>
        <w:jc w:val="both"/>
      </w:pPr>
    </w:p>
    <w:p w14:paraId="35DD16F6" w14:textId="115F5FAA" w:rsidR="00D26793" w:rsidRPr="00164658" w:rsidRDefault="00D26793" w:rsidP="00056799">
      <w:pPr>
        <w:pStyle w:val="Heading1"/>
        <w:jc w:val="both"/>
      </w:pPr>
      <w:bookmarkStart w:id="0" w:name="_Toc115179655"/>
      <w:r w:rsidRPr="00164658">
        <w:t>Contents</w:t>
      </w:r>
      <w:bookmarkEnd w:id="0"/>
    </w:p>
    <w:p w14:paraId="2F29F19B" w14:textId="1441282D" w:rsidR="00B61C40" w:rsidRDefault="00D26793" w:rsidP="006F37EA">
      <w:pPr>
        <w:pStyle w:val="TOC1"/>
        <w:jc w:val="both"/>
        <w:rPr>
          <w:rFonts w:asciiTheme="minorHAnsi" w:eastAsiaTheme="minorEastAsia" w:hAnsiTheme="minorHAnsi" w:cstheme="minorBidi"/>
          <w:b w:val="0"/>
          <w:bCs w:val="0"/>
          <w:noProof/>
          <w:sz w:val="22"/>
          <w:szCs w:val="22"/>
          <w:lang w:eastAsia="en-AU"/>
        </w:rPr>
      </w:pPr>
      <w:r>
        <w:rPr>
          <w:caps/>
          <w:sz w:val="24"/>
        </w:rPr>
        <w:fldChar w:fldCharType="begin"/>
      </w:r>
      <w:r>
        <w:instrText xml:space="preserve"> TOC \o "1-4" \h \z \u </w:instrText>
      </w:r>
      <w:r>
        <w:rPr>
          <w:caps/>
          <w:sz w:val="24"/>
        </w:rPr>
        <w:fldChar w:fldCharType="separate"/>
      </w:r>
      <w:hyperlink w:anchor="_Toc115179655" w:history="1">
        <w:r w:rsidR="00B61C40" w:rsidRPr="00E16FF9">
          <w:rPr>
            <w:rStyle w:val="Hyperlink"/>
            <w:noProof/>
          </w:rPr>
          <w:t>Contents</w:t>
        </w:r>
        <w:r w:rsidR="00B61C40">
          <w:rPr>
            <w:noProof/>
            <w:webHidden/>
          </w:rPr>
          <w:tab/>
        </w:r>
        <w:r w:rsidR="00B61C40">
          <w:rPr>
            <w:noProof/>
            <w:webHidden/>
          </w:rPr>
          <w:fldChar w:fldCharType="begin"/>
        </w:r>
        <w:r w:rsidR="00B61C40">
          <w:rPr>
            <w:noProof/>
            <w:webHidden/>
          </w:rPr>
          <w:instrText xml:space="preserve"> PAGEREF _Toc115179655 \h </w:instrText>
        </w:r>
        <w:r w:rsidR="00B61C40">
          <w:rPr>
            <w:noProof/>
            <w:webHidden/>
          </w:rPr>
        </w:r>
        <w:r w:rsidR="00B61C40">
          <w:rPr>
            <w:noProof/>
            <w:webHidden/>
          </w:rPr>
          <w:fldChar w:fldCharType="separate"/>
        </w:r>
        <w:r w:rsidR="00313C01">
          <w:rPr>
            <w:noProof/>
            <w:webHidden/>
          </w:rPr>
          <w:t>3</w:t>
        </w:r>
        <w:r w:rsidR="00B61C40">
          <w:rPr>
            <w:noProof/>
            <w:webHidden/>
          </w:rPr>
          <w:fldChar w:fldCharType="end"/>
        </w:r>
      </w:hyperlink>
    </w:p>
    <w:p w14:paraId="7726850C" w14:textId="31C096A4" w:rsidR="00B61C40" w:rsidRDefault="00346F95" w:rsidP="006F37EA">
      <w:pPr>
        <w:pStyle w:val="TOC1"/>
        <w:jc w:val="both"/>
        <w:rPr>
          <w:rFonts w:asciiTheme="minorHAnsi" w:eastAsiaTheme="minorEastAsia" w:hAnsiTheme="minorHAnsi" w:cstheme="minorBidi"/>
          <w:b w:val="0"/>
          <w:bCs w:val="0"/>
          <w:noProof/>
          <w:sz w:val="22"/>
          <w:szCs w:val="22"/>
          <w:lang w:eastAsia="en-AU"/>
        </w:rPr>
      </w:pPr>
      <w:hyperlink w:anchor="_Toc115179656" w:history="1">
        <w:r w:rsidR="00B61C40" w:rsidRPr="00E16FF9">
          <w:rPr>
            <w:rStyle w:val="Hyperlink"/>
            <w:noProof/>
          </w:rPr>
          <w:t>Background</w:t>
        </w:r>
        <w:r w:rsidR="00B61C40">
          <w:rPr>
            <w:noProof/>
            <w:webHidden/>
          </w:rPr>
          <w:tab/>
        </w:r>
        <w:r w:rsidR="00B61C40">
          <w:rPr>
            <w:noProof/>
            <w:webHidden/>
          </w:rPr>
          <w:fldChar w:fldCharType="begin"/>
        </w:r>
        <w:r w:rsidR="00B61C40">
          <w:rPr>
            <w:noProof/>
            <w:webHidden/>
          </w:rPr>
          <w:instrText xml:space="preserve"> PAGEREF _Toc115179656 \h </w:instrText>
        </w:r>
        <w:r w:rsidR="00B61C40">
          <w:rPr>
            <w:noProof/>
            <w:webHidden/>
          </w:rPr>
        </w:r>
        <w:r w:rsidR="00B61C40">
          <w:rPr>
            <w:noProof/>
            <w:webHidden/>
          </w:rPr>
          <w:fldChar w:fldCharType="separate"/>
        </w:r>
        <w:r w:rsidR="00313C01">
          <w:rPr>
            <w:noProof/>
            <w:webHidden/>
          </w:rPr>
          <w:t>4</w:t>
        </w:r>
        <w:r w:rsidR="00B61C40">
          <w:rPr>
            <w:noProof/>
            <w:webHidden/>
          </w:rPr>
          <w:fldChar w:fldCharType="end"/>
        </w:r>
      </w:hyperlink>
    </w:p>
    <w:p w14:paraId="1BCB10FA" w14:textId="2A4B0DEC" w:rsidR="00B61C40" w:rsidRDefault="00346F95" w:rsidP="006F37EA">
      <w:pPr>
        <w:pStyle w:val="TOC1"/>
        <w:jc w:val="both"/>
        <w:rPr>
          <w:rFonts w:asciiTheme="minorHAnsi" w:eastAsiaTheme="minorEastAsia" w:hAnsiTheme="minorHAnsi" w:cstheme="minorBidi"/>
          <w:b w:val="0"/>
          <w:bCs w:val="0"/>
          <w:noProof/>
          <w:sz w:val="22"/>
          <w:szCs w:val="22"/>
          <w:lang w:eastAsia="en-AU"/>
        </w:rPr>
      </w:pPr>
      <w:hyperlink w:anchor="_Toc115179657" w:history="1">
        <w:r w:rsidR="00B61C40" w:rsidRPr="00E16FF9">
          <w:rPr>
            <w:rStyle w:val="Hyperlink"/>
            <w:rFonts w:ascii="Arial" w:hAnsi="Arial" w:cs="Arial"/>
            <w:noProof/>
          </w:rPr>
          <w:t>Summary</w:t>
        </w:r>
        <w:r w:rsidR="00B61C40" w:rsidRPr="00E16FF9">
          <w:rPr>
            <w:rStyle w:val="Hyperlink"/>
            <w:rFonts w:ascii="Arial" w:hAnsi="Arial" w:cs="Arial"/>
            <w:noProof/>
            <w:spacing w:val="-2"/>
          </w:rPr>
          <w:t xml:space="preserve"> </w:t>
        </w:r>
        <w:r w:rsidR="00B61C40" w:rsidRPr="00E16FF9">
          <w:rPr>
            <w:rStyle w:val="Hyperlink"/>
            <w:rFonts w:ascii="Arial" w:hAnsi="Arial" w:cs="Arial"/>
            <w:noProof/>
          </w:rPr>
          <w:t>of</w:t>
        </w:r>
        <w:r w:rsidR="00B61C40" w:rsidRPr="00E16FF9">
          <w:rPr>
            <w:rStyle w:val="Hyperlink"/>
            <w:rFonts w:ascii="Arial" w:hAnsi="Arial" w:cs="Arial"/>
            <w:noProof/>
            <w:spacing w:val="-1"/>
          </w:rPr>
          <w:t xml:space="preserve"> </w:t>
        </w:r>
        <w:r w:rsidR="00B61C40" w:rsidRPr="00E16FF9">
          <w:rPr>
            <w:rStyle w:val="Hyperlink"/>
            <w:rFonts w:ascii="Arial" w:hAnsi="Arial" w:cs="Arial"/>
            <w:noProof/>
          </w:rPr>
          <w:t>Recommendations</w:t>
        </w:r>
        <w:r w:rsidR="00B61C40">
          <w:rPr>
            <w:noProof/>
            <w:webHidden/>
          </w:rPr>
          <w:tab/>
        </w:r>
        <w:r w:rsidR="00B61C40">
          <w:rPr>
            <w:noProof/>
            <w:webHidden/>
          </w:rPr>
          <w:fldChar w:fldCharType="begin"/>
        </w:r>
        <w:r w:rsidR="00B61C40">
          <w:rPr>
            <w:noProof/>
            <w:webHidden/>
          </w:rPr>
          <w:instrText xml:space="preserve"> PAGEREF _Toc115179657 \h </w:instrText>
        </w:r>
        <w:r w:rsidR="00B61C40">
          <w:rPr>
            <w:noProof/>
            <w:webHidden/>
          </w:rPr>
        </w:r>
        <w:r w:rsidR="00B61C40">
          <w:rPr>
            <w:noProof/>
            <w:webHidden/>
          </w:rPr>
          <w:fldChar w:fldCharType="separate"/>
        </w:r>
        <w:r w:rsidR="00313C01">
          <w:rPr>
            <w:noProof/>
            <w:webHidden/>
          </w:rPr>
          <w:t>23</w:t>
        </w:r>
        <w:r w:rsidR="00B61C40">
          <w:rPr>
            <w:noProof/>
            <w:webHidden/>
          </w:rPr>
          <w:fldChar w:fldCharType="end"/>
        </w:r>
      </w:hyperlink>
    </w:p>
    <w:p w14:paraId="42B27E12" w14:textId="2C4FCCFE" w:rsidR="00D26793" w:rsidRDefault="00D26793" w:rsidP="00056799">
      <w:pPr>
        <w:jc w:val="both"/>
        <w:sectPr w:rsidR="00D26793" w:rsidSect="00402D5D">
          <w:footerReference w:type="default" r:id="rId11"/>
          <w:footerReference w:type="first" r:id="rId12"/>
          <w:pgSz w:w="11900" w:h="16840"/>
          <w:pgMar w:top="1418" w:right="1412" w:bottom="1418" w:left="1418" w:header="709" w:footer="397" w:gutter="0"/>
          <w:cols w:space="708"/>
          <w:titlePg/>
          <w:docGrid w:linePitch="360"/>
        </w:sectPr>
      </w:pPr>
      <w:r>
        <w:fldChar w:fldCharType="end"/>
      </w:r>
    </w:p>
    <w:p w14:paraId="44B67FD9" w14:textId="75DE968A" w:rsidR="005B0C9A" w:rsidRPr="007B5582" w:rsidRDefault="00B61C40" w:rsidP="00056799">
      <w:pPr>
        <w:pStyle w:val="Heading1"/>
        <w:jc w:val="both"/>
        <w:rPr>
          <w:rFonts w:ascii="Arial" w:hAnsi="Arial" w:cs="Arial"/>
          <w:sz w:val="32"/>
          <w:szCs w:val="32"/>
        </w:rPr>
      </w:pPr>
      <w:bookmarkStart w:id="1" w:name="_Toc115179656"/>
      <w:r w:rsidRPr="007B5582">
        <w:rPr>
          <w:rFonts w:ascii="Arial" w:hAnsi="Arial" w:cs="Arial"/>
          <w:sz w:val="32"/>
          <w:szCs w:val="32"/>
        </w:rPr>
        <w:lastRenderedPageBreak/>
        <w:t>Background</w:t>
      </w:r>
      <w:bookmarkEnd w:id="1"/>
    </w:p>
    <w:p w14:paraId="2782AB12" w14:textId="77777777" w:rsidR="005B0C9A" w:rsidRPr="00616C59" w:rsidRDefault="005B0C9A" w:rsidP="00056799">
      <w:pPr>
        <w:jc w:val="both"/>
        <w:rPr>
          <w:rFonts w:ascii="Arial" w:eastAsia="Microsoft YaHei Light" w:hAnsi="Arial" w:cs="Arial"/>
        </w:rPr>
      </w:pPr>
      <w:r w:rsidRPr="00616C59">
        <w:rPr>
          <w:rFonts w:ascii="Arial" w:eastAsia="Microsoft YaHei Light" w:hAnsi="Arial" w:cs="Arial"/>
        </w:rPr>
        <w:t xml:space="preserve">The current </w:t>
      </w:r>
      <w:r w:rsidRPr="00616C59">
        <w:rPr>
          <w:rFonts w:ascii="Arial" w:eastAsia="Microsoft YaHei Light" w:hAnsi="Arial" w:cs="Arial"/>
          <w:i/>
          <w:iCs/>
        </w:rPr>
        <w:t>Fire Service Act</w:t>
      </w:r>
      <w:r w:rsidRPr="00616C59">
        <w:rPr>
          <w:rFonts w:ascii="Arial" w:eastAsia="Microsoft YaHei Light" w:hAnsi="Arial" w:cs="Arial"/>
        </w:rPr>
        <w:t xml:space="preserve"> (FSA) was proclaimed in 1979.  It has not been reviewed since its proclamation. The Government committed to review the Act as outlined in its commitment made in the recent State election within the first 100 days of government should it be elected. </w:t>
      </w:r>
    </w:p>
    <w:p w14:paraId="5AE99C64" w14:textId="2218B0AB" w:rsidR="005B0C9A" w:rsidRPr="00616C59" w:rsidRDefault="005B0C9A" w:rsidP="00056799">
      <w:pPr>
        <w:jc w:val="both"/>
        <w:rPr>
          <w:rFonts w:ascii="Arial" w:eastAsia="Microsoft YaHei Light" w:hAnsi="Arial" w:cs="Arial"/>
        </w:rPr>
      </w:pPr>
      <w:r w:rsidRPr="00616C59">
        <w:rPr>
          <w:rFonts w:ascii="Arial" w:eastAsia="Microsoft YaHei Light" w:hAnsi="Arial" w:cs="Arial"/>
        </w:rPr>
        <w:t>Matters to be addressed in the review include</w:t>
      </w:r>
      <w:r w:rsidR="008021AA">
        <w:rPr>
          <w:rFonts w:ascii="Arial" w:eastAsia="Microsoft YaHei Light" w:hAnsi="Arial" w:cs="Arial"/>
        </w:rPr>
        <w:t>:</w:t>
      </w:r>
    </w:p>
    <w:p w14:paraId="4F2193C6" w14:textId="76B3919D" w:rsidR="005B0C9A" w:rsidRPr="00616C59" w:rsidRDefault="005B0C9A" w:rsidP="00041645">
      <w:pPr>
        <w:pStyle w:val="ListParagraph"/>
        <w:keepLines/>
        <w:numPr>
          <w:ilvl w:val="0"/>
          <w:numId w:val="2"/>
        </w:numPr>
        <w:tabs>
          <w:tab w:val="clear" w:pos="567"/>
          <w:tab w:val="clear" w:pos="1134"/>
          <w:tab w:val="clear" w:pos="1701"/>
        </w:tabs>
        <w:spacing w:before="100" w:beforeAutospacing="1" w:after="100" w:afterAutospacing="1" w:line="240" w:lineRule="auto"/>
        <w:ind w:hanging="720"/>
        <w:jc w:val="both"/>
        <w:rPr>
          <w:rFonts w:ascii="Arial" w:eastAsia="Microsoft YaHei Light" w:hAnsi="Arial" w:cs="Arial"/>
        </w:rPr>
      </w:pPr>
      <w:r w:rsidRPr="00616C59">
        <w:rPr>
          <w:rFonts w:ascii="Arial" w:eastAsia="Microsoft YaHei Light" w:hAnsi="Arial" w:cs="Arial"/>
        </w:rPr>
        <w:t>Current governance structure including the State Emergency Service (SES), the role of the State Fire Commission (</w:t>
      </w:r>
      <w:r w:rsidR="008021AA">
        <w:rPr>
          <w:rFonts w:ascii="Arial" w:eastAsia="Microsoft YaHei Light" w:hAnsi="Arial" w:cs="Arial"/>
        </w:rPr>
        <w:t>SFC</w:t>
      </w:r>
      <w:r w:rsidRPr="00616C59">
        <w:rPr>
          <w:rFonts w:ascii="Arial" w:eastAsia="Microsoft YaHei Light" w:hAnsi="Arial" w:cs="Arial"/>
        </w:rPr>
        <w:t>) and the existing governance arrangements for the T</w:t>
      </w:r>
      <w:r w:rsidR="008021AA">
        <w:rPr>
          <w:rFonts w:ascii="Arial" w:eastAsia="Microsoft YaHei Light" w:hAnsi="Arial" w:cs="Arial"/>
        </w:rPr>
        <w:t xml:space="preserve">asmania </w:t>
      </w:r>
      <w:r w:rsidRPr="00616C59">
        <w:rPr>
          <w:rFonts w:ascii="Arial" w:eastAsia="Microsoft YaHei Light" w:hAnsi="Arial" w:cs="Arial"/>
        </w:rPr>
        <w:t>F</w:t>
      </w:r>
      <w:r w:rsidR="008021AA">
        <w:rPr>
          <w:rFonts w:ascii="Arial" w:eastAsia="Microsoft YaHei Light" w:hAnsi="Arial" w:cs="Arial"/>
        </w:rPr>
        <w:t xml:space="preserve">ire </w:t>
      </w:r>
      <w:r w:rsidRPr="00616C59">
        <w:rPr>
          <w:rFonts w:ascii="Arial" w:eastAsia="Microsoft YaHei Light" w:hAnsi="Arial" w:cs="Arial"/>
        </w:rPr>
        <w:t>S</w:t>
      </w:r>
      <w:r w:rsidR="008021AA">
        <w:rPr>
          <w:rFonts w:ascii="Arial" w:eastAsia="Microsoft YaHei Light" w:hAnsi="Arial" w:cs="Arial"/>
        </w:rPr>
        <w:t>ervice</w:t>
      </w:r>
      <w:r w:rsidR="00915797">
        <w:rPr>
          <w:rFonts w:ascii="Arial" w:eastAsia="Microsoft YaHei Light" w:hAnsi="Arial" w:cs="Arial"/>
        </w:rPr>
        <w:t xml:space="preserve"> (</w:t>
      </w:r>
      <w:r w:rsidR="00D32335">
        <w:rPr>
          <w:rFonts w:ascii="Arial" w:eastAsia="Microsoft YaHei Light" w:hAnsi="Arial" w:cs="Arial"/>
        </w:rPr>
        <w:t>TFS)</w:t>
      </w:r>
      <w:r w:rsidRPr="00616C59">
        <w:rPr>
          <w:rFonts w:ascii="Arial" w:eastAsia="Microsoft YaHei Light" w:hAnsi="Arial" w:cs="Arial"/>
        </w:rPr>
        <w:t xml:space="preserve"> and SES within the Department of Police, Fire and Emergency Services (DPFEM).</w:t>
      </w:r>
    </w:p>
    <w:p w14:paraId="63F5B3F1" w14:textId="6D3C1179" w:rsidR="005B0C9A" w:rsidRPr="00616C59" w:rsidRDefault="005B0C9A" w:rsidP="00041645">
      <w:pPr>
        <w:pStyle w:val="ListParagraph"/>
        <w:keepLines/>
        <w:numPr>
          <w:ilvl w:val="0"/>
          <w:numId w:val="2"/>
        </w:numPr>
        <w:tabs>
          <w:tab w:val="clear" w:pos="567"/>
          <w:tab w:val="clear" w:pos="1134"/>
          <w:tab w:val="clear" w:pos="1701"/>
        </w:tabs>
        <w:spacing w:before="100" w:beforeAutospacing="1" w:after="100" w:afterAutospacing="1" w:line="240" w:lineRule="auto"/>
        <w:ind w:hanging="720"/>
        <w:jc w:val="both"/>
        <w:rPr>
          <w:rFonts w:ascii="Arial" w:eastAsia="Microsoft YaHei Light" w:hAnsi="Arial" w:cs="Arial"/>
        </w:rPr>
      </w:pPr>
      <w:r w:rsidRPr="00616C59">
        <w:rPr>
          <w:rFonts w:ascii="Arial" w:eastAsia="Microsoft YaHei Light" w:hAnsi="Arial" w:cs="Arial"/>
        </w:rPr>
        <w:t xml:space="preserve">The funding arrangements of the TFS  </w:t>
      </w:r>
    </w:p>
    <w:p w14:paraId="151275D4" w14:textId="77777777" w:rsidR="005B0C9A" w:rsidRPr="00616C59" w:rsidRDefault="005B0C9A" w:rsidP="00041645">
      <w:pPr>
        <w:pStyle w:val="ListParagraph"/>
        <w:keepLines/>
        <w:numPr>
          <w:ilvl w:val="0"/>
          <w:numId w:val="2"/>
        </w:numPr>
        <w:tabs>
          <w:tab w:val="clear" w:pos="567"/>
          <w:tab w:val="clear" w:pos="1134"/>
          <w:tab w:val="clear" w:pos="1701"/>
        </w:tabs>
        <w:spacing w:before="100" w:beforeAutospacing="1" w:after="100" w:afterAutospacing="1" w:line="240" w:lineRule="auto"/>
        <w:ind w:hanging="720"/>
        <w:jc w:val="both"/>
        <w:rPr>
          <w:rFonts w:ascii="Arial" w:eastAsia="Microsoft YaHei Light" w:hAnsi="Arial" w:cs="Arial"/>
        </w:rPr>
      </w:pPr>
      <w:r w:rsidRPr="00616C59">
        <w:rPr>
          <w:rFonts w:ascii="Arial" w:eastAsia="Microsoft YaHei Light" w:hAnsi="Arial" w:cs="Arial"/>
        </w:rPr>
        <w:t>Bushfire Mitigation measures.</w:t>
      </w:r>
    </w:p>
    <w:p w14:paraId="4B2BDBF5" w14:textId="77777777" w:rsidR="005B0C9A" w:rsidRPr="00616C59" w:rsidRDefault="005B0C9A" w:rsidP="00041645">
      <w:pPr>
        <w:pStyle w:val="ListParagraph"/>
        <w:keepLines/>
        <w:numPr>
          <w:ilvl w:val="0"/>
          <w:numId w:val="2"/>
        </w:numPr>
        <w:tabs>
          <w:tab w:val="clear" w:pos="567"/>
          <w:tab w:val="clear" w:pos="1134"/>
          <w:tab w:val="clear" w:pos="1701"/>
        </w:tabs>
        <w:spacing w:before="100" w:beforeAutospacing="1" w:after="100" w:afterAutospacing="1" w:line="240" w:lineRule="auto"/>
        <w:ind w:hanging="720"/>
        <w:jc w:val="both"/>
        <w:rPr>
          <w:rFonts w:ascii="Arial" w:eastAsia="Microsoft YaHei Light" w:hAnsi="Arial" w:cs="Arial"/>
        </w:rPr>
      </w:pPr>
      <w:r w:rsidRPr="00616C59">
        <w:rPr>
          <w:rFonts w:ascii="Arial" w:eastAsia="Microsoft YaHei Light" w:hAnsi="Arial" w:cs="Arial"/>
        </w:rPr>
        <w:t>Other matters to ensure that the Act is contemporary, principle based and reflective of current best practice legislation.</w:t>
      </w:r>
    </w:p>
    <w:p w14:paraId="506212B3" w14:textId="61E63C41" w:rsidR="005B0C9A" w:rsidRPr="00616C59" w:rsidRDefault="005B0C9A" w:rsidP="00056799">
      <w:pPr>
        <w:jc w:val="both"/>
        <w:rPr>
          <w:rFonts w:ascii="Arial" w:eastAsia="Microsoft YaHei Light" w:hAnsi="Arial" w:cs="Arial"/>
        </w:rPr>
      </w:pPr>
      <w:r w:rsidRPr="00616C59">
        <w:rPr>
          <w:rFonts w:ascii="Arial" w:eastAsia="Microsoft YaHei Light" w:hAnsi="Arial" w:cs="Arial"/>
        </w:rPr>
        <w:t xml:space="preserve">Significant work has already been </w:t>
      </w:r>
      <w:r w:rsidR="00F53C05">
        <w:rPr>
          <w:rFonts w:ascii="Arial" w:eastAsia="Microsoft YaHei Light" w:hAnsi="Arial" w:cs="Arial"/>
        </w:rPr>
        <w:t xml:space="preserve">undertaken </w:t>
      </w:r>
      <w:r w:rsidRPr="00616C59">
        <w:rPr>
          <w:rFonts w:ascii="Arial" w:eastAsia="Microsoft YaHei Light" w:hAnsi="Arial" w:cs="Arial"/>
        </w:rPr>
        <w:t xml:space="preserve">on the substance of the matters to be reviewed. The major ones being the Blake Review of the </w:t>
      </w:r>
      <w:r w:rsidRPr="00616C59">
        <w:rPr>
          <w:rFonts w:ascii="Arial" w:eastAsia="Microsoft YaHei Light" w:hAnsi="Arial" w:cs="Arial"/>
          <w:i/>
          <w:iCs/>
        </w:rPr>
        <w:t xml:space="preserve">Fire Service Act 1979 </w:t>
      </w:r>
      <w:r w:rsidRPr="00616C59">
        <w:rPr>
          <w:rFonts w:ascii="Arial" w:eastAsia="Microsoft YaHei Light" w:hAnsi="Arial" w:cs="Arial"/>
        </w:rPr>
        <w:t>(The Review)</w:t>
      </w:r>
      <w:r w:rsidRPr="00616C59">
        <w:rPr>
          <w:rFonts w:ascii="Arial" w:eastAsia="Microsoft YaHei Light" w:hAnsi="Arial" w:cs="Arial"/>
          <w:i/>
          <w:iCs/>
        </w:rPr>
        <w:t xml:space="preserve"> </w:t>
      </w:r>
      <w:r w:rsidRPr="00616C59">
        <w:rPr>
          <w:rFonts w:ascii="Arial" w:eastAsia="Microsoft YaHei Light" w:hAnsi="Arial" w:cs="Arial"/>
        </w:rPr>
        <w:t>which was completed in October 2020, the House of Assembly Standing Committee Inquiry into SFC and the draft Bushfire Mitigation Measures</w:t>
      </w:r>
      <w:r w:rsidR="00F53C05">
        <w:rPr>
          <w:rFonts w:ascii="Arial" w:eastAsia="Microsoft YaHei Light" w:hAnsi="Arial" w:cs="Arial"/>
        </w:rPr>
        <w:t xml:space="preserve"> </w:t>
      </w:r>
      <w:r w:rsidR="00DD02F2">
        <w:rPr>
          <w:rFonts w:ascii="Arial" w:eastAsia="Microsoft YaHei Light" w:hAnsi="Arial" w:cs="Arial"/>
        </w:rPr>
        <w:t>(BMM)</w:t>
      </w:r>
      <w:r w:rsidRPr="00616C59">
        <w:rPr>
          <w:rFonts w:ascii="Arial" w:eastAsia="Microsoft YaHei Light" w:hAnsi="Arial" w:cs="Arial"/>
        </w:rPr>
        <w:t xml:space="preserve"> Bill that was released in late 2020.</w:t>
      </w:r>
    </w:p>
    <w:p w14:paraId="5D7446D3" w14:textId="77777777" w:rsidR="005B0C9A" w:rsidRPr="00616C59" w:rsidRDefault="005B0C9A" w:rsidP="00056799">
      <w:pPr>
        <w:jc w:val="both"/>
        <w:rPr>
          <w:rFonts w:ascii="Arial" w:eastAsia="Microsoft YaHei Light" w:hAnsi="Arial" w:cs="Arial"/>
        </w:rPr>
      </w:pPr>
      <w:r w:rsidRPr="00616C59">
        <w:rPr>
          <w:rFonts w:ascii="Arial" w:eastAsia="Microsoft YaHei Light" w:hAnsi="Arial" w:cs="Arial"/>
        </w:rPr>
        <w:t>The Government has also committed to not abolish the State Fire Commission (SFC).</w:t>
      </w:r>
    </w:p>
    <w:p w14:paraId="50CDF8C6" w14:textId="77777777" w:rsidR="005B0C9A" w:rsidRPr="00616C59" w:rsidRDefault="005B0C9A" w:rsidP="00056799">
      <w:pPr>
        <w:jc w:val="both"/>
        <w:rPr>
          <w:rFonts w:ascii="Arial" w:eastAsia="Microsoft YaHei Light" w:hAnsi="Arial" w:cs="Arial"/>
        </w:rPr>
      </w:pPr>
      <w:r w:rsidRPr="00616C59">
        <w:rPr>
          <w:rFonts w:ascii="Arial" w:eastAsia="Microsoft YaHei Light" w:hAnsi="Arial" w:cs="Arial"/>
        </w:rPr>
        <w:t>The Blake Review and recommendations was released for public consultation with a closing date of November 15, 2021.</w:t>
      </w:r>
    </w:p>
    <w:p w14:paraId="08CDA1E5" w14:textId="77777777" w:rsidR="005B0C9A" w:rsidRPr="00616C59" w:rsidRDefault="005B0C9A" w:rsidP="00056799">
      <w:pPr>
        <w:jc w:val="both"/>
        <w:rPr>
          <w:rFonts w:ascii="Arial" w:eastAsia="Microsoft YaHei Light" w:hAnsi="Arial" w:cs="Arial"/>
        </w:rPr>
      </w:pPr>
      <w:r w:rsidRPr="00616C59">
        <w:rPr>
          <w:rFonts w:ascii="Arial" w:eastAsia="Microsoft YaHei Light" w:hAnsi="Arial" w:cs="Arial"/>
        </w:rPr>
        <w:t>The Department of Treasury and Finance produced a paper on funding options for the TFS which was released for public and targeted consultations.</w:t>
      </w:r>
    </w:p>
    <w:p w14:paraId="53C87920" w14:textId="618B4099" w:rsidR="005B0C9A" w:rsidRPr="00616C59" w:rsidRDefault="005B0C9A" w:rsidP="00056799">
      <w:pPr>
        <w:jc w:val="both"/>
        <w:rPr>
          <w:rFonts w:ascii="Arial" w:eastAsia="Microsoft YaHei Light" w:hAnsi="Arial" w:cs="Arial"/>
        </w:rPr>
      </w:pPr>
      <w:r w:rsidRPr="00616C59">
        <w:rPr>
          <w:rFonts w:ascii="Arial" w:eastAsia="Microsoft YaHei Light" w:hAnsi="Arial" w:cs="Arial"/>
        </w:rPr>
        <w:t>Consultation on the B</w:t>
      </w:r>
      <w:r w:rsidR="003D1CC0">
        <w:rPr>
          <w:rFonts w:ascii="Arial" w:eastAsia="Microsoft YaHei Light" w:hAnsi="Arial" w:cs="Arial"/>
        </w:rPr>
        <w:t xml:space="preserve">MM </w:t>
      </w:r>
      <w:r w:rsidRPr="00616C59">
        <w:rPr>
          <w:rFonts w:ascii="Arial" w:eastAsia="Microsoft YaHei Light" w:hAnsi="Arial" w:cs="Arial"/>
        </w:rPr>
        <w:t>Bill resulted in an undertaking that this Bill would not be proceeded with as a separate piece of legislation but would form part of the review of the FSA.  This followed a period of consultation whereby most of the public submissions requested that legislative provisions required to enact bushfire mitigation measures should be contained within the FSA and dealt with as part of the Fire Service Act review.</w:t>
      </w:r>
    </w:p>
    <w:p w14:paraId="2037739A" w14:textId="58A26C25" w:rsidR="005B0C9A" w:rsidRPr="00616C59" w:rsidRDefault="005B0C9A" w:rsidP="008021AA">
      <w:pPr>
        <w:jc w:val="both"/>
        <w:rPr>
          <w:rFonts w:ascii="Arial" w:hAnsi="Arial" w:cs="Arial"/>
        </w:rPr>
      </w:pPr>
      <w:r w:rsidRPr="00616C59">
        <w:rPr>
          <w:rFonts w:ascii="Arial" w:hAnsi="Arial" w:cs="Arial"/>
        </w:rPr>
        <w:t xml:space="preserve">The objective of this report is to </w:t>
      </w:r>
      <w:r w:rsidR="003D1CC0">
        <w:rPr>
          <w:rFonts w:ascii="Arial" w:hAnsi="Arial" w:cs="Arial"/>
        </w:rPr>
        <w:t xml:space="preserve">propose </w:t>
      </w:r>
      <w:r w:rsidRPr="00616C59">
        <w:rPr>
          <w:rFonts w:ascii="Arial" w:hAnsi="Arial" w:cs="Arial"/>
        </w:rPr>
        <w:t xml:space="preserve">policy positions following consultations </w:t>
      </w:r>
      <w:r w:rsidR="00FE5936">
        <w:rPr>
          <w:rFonts w:ascii="Arial" w:hAnsi="Arial" w:cs="Arial"/>
        </w:rPr>
        <w:t xml:space="preserve">for the Government’s consideration. </w:t>
      </w:r>
      <w:r w:rsidRPr="00616C59">
        <w:rPr>
          <w:rFonts w:ascii="Arial" w:hAnsi="Arial" w:cs="Arial"/>
        </w:rPr>
        <w:t xml:space="preserve">The major areas under consideration </w:t>
      </w:r>
      <w:r w:rsidR="00FE5936">
        <w:rPr>
          <w:rFonts w:ascii="Arial" w:hAnsi="Arial" w:cs="Arial"/>
        </w:rPr>
        <w:t xml:space="preserve">in </w:t>
      </w:r>
      <w:r w:rsidRPr="00616C59">
        <w:rPr>
          <w:rFonts w:ascii="Arial" w:hAnsi="Arial" w:cs="Arial"/>
        </w:rPr>
        <w:t>this report include a new governance structure for the TFS and SES within the DPFEM, a new levy system to fund the TFS and SES, finali</w:t>
      </w:r>
      <w:r w:rsidR="008021AA">
        <w:rPr>
          <w:rFonts w:ascii="Arial" w:hAnsi="Arial" w:cs="Arial"/>
        </w:rPr>
        <w:t>s</w:t>
      </w:r>
      <w:r w:rsidRPr="00616C59">
        <w:rPr>
          <w:rFonts w:ascii="Arial" w:hAnsi="Arial" w:cs="Arial"/>
        </w:rPr>
        <w:t xml:space="preserve">ing bushfire mitigation measures and a review of the roles and functions of the SFC. It will also examine changes required to update and modernize the existing FSA. </w:t>
      </w:r>
    </w:p>
    <w:p w14:paraId="0A5AA4D4" w14:textId="7F1B8267" w:rsidR="005B0C9A" w:rsidRDefault="005B0C9A" w:rsidP="00056799">
      <w:pPr>
        <w:jc w:val="both"/>
        <w:rPr>
          <w:rFonts w:ascii="Arial" w:hAnsi="Arial" w:cs="Arial"/>
          <w:b/>
          <w:bCs/>
          <w:sz w:val="22"/>
          <w:szCs w:val="22"/>
        </w:rPr>
      </w:pPr>
    </w:p>
    <w:p w14:paraId="5D6699F5" w14:textId="556D64A0" w:rsidR="00995B98" w:rsidRDefault="00995B98" w:rsidP="00056799">
      <w:pPr>
        <w:jc w:val="both"/>
        <w:rPr>
          <w:rFonts w:ascii="Arial" w:hAnsi="Arial" w:cs="Arial"/>
          <w:b/>
          <w:bCs/>
          <w:sz w:val="22"/>
          <w:szCs w:val="22"/>
        </w:rPr>
      </w:pPr>
    </w:p>
    <w:p w14:paraId="60BA38BF" w14:textId="62D6825F" w:rsidR="00915797" w:rsidRDefault="00915797" w:rsidP="00056799">
      <w:pPr>
        <w:jc w:val="both"/>
        <w:rPr>
          <w:rFonts w:ascii="Arial" w:hAnsi="Arial" w:cs="Arial"/>
          <w:b/>
          <w:bCs/>
          <w:sz w:val="22"/>
          <w:szCs w:val="22"/>
        </w:rPr>
      </w:pPr>
    </w:p>
    <w:p w14:paraId="5A5460D5" w14:textId="4EE0FB21" w:rsidR="00915797" w:rsidRDefault="00915797" w:rsidP="00056799">
      <w:pPr>
        <w:jc w:val="both"/>
        <w:rPr>
          <w:rFonts w:ascii="Arial" w:hAnsi="Arial" w:cs="Arial"/>
          <w:b/>
          <w:bCs/>
          <w:sz w:val="22"/>
          <w:szCs w:val="22"/>
        </w:rPr>
      </w:pPr>
    </w:p>
    <w:p w14:paraId="280F083E" w14:textId="77777777" w:rsidR="00915797" w:rsidRDefault="00915797" w:rsidP="00056799">
      <w:pPr>
        <w:jc w:val="both"/>
        <w:rPr>
          <w:rFonts w:ascii="Arial" w:hAnsi="Arial" w:cs="Arial"/>
          <w:b/>
          <w:bCs/>
          <w:sz w:val="22"/>
          <w:szCs w:val="22"/>
        </w:rPr>
      </w:pPr>
    </w:p>
    <w:p w14:paraId="31555661" w14:textId="77777777" w:rsidR="00995B98" w:rsidRPr="00B61C40" w:rsidRDefault="00995B98" w:rsidP="00056799">
      <w:pPr>
        <w:jc w:val="both"/>
        <w:rPr>
          <w:rFonts w:ascii="Arial" w:hAnsi="Arial" w:cs="Arial"/>
          <w:b/>
          <w:bCs/>
          <w:sz w:val="22"/>
          <w:szCs w:val="22"/>
        </w:rPr>
      </w:pPr>
    </w:p>
    <w:p w14:paraId="10127965" w14:textId="77777777" w:rsidR="005B0C9A" w:rsidRPr="007B5582" w:rsidRDefault="005B0C9A" w:rsidP="00056799">
      <w:pPr>
        <w:tabs>
          <w:tab w:val="left" w:pos="1490"/>
        </w:tabs>
        <w:jc w:val="both"/>
        <w:rPr>
          <w:rFonts w:ascii="Arial" w:hAnsi="Arial" w:cs="Arial"/>
          <w:b/>
          <w:bCs/>
          <w:color w:val="005B9A" w:themeColor="accent1"/>
          <w:sz w:val="32"/>
          <w:szCs w:val="32"/>
        </w:rPr>
      </w:pPr>
      <w:r w:rsidRPr="007B5582">
        <w:rPr>
          <w:rFonts w:ascii="Arial" w:hAnsi="Arial" w:cs="Arial"/>
          <w:b/>
          <w:bCs/>
          <w:color w:val="005B9A" w:themeColor="accent1"/>
          <w:sz w:val="32"/>
          <w:szCs w:val="32"/>
        </w:rPr>
        <w:lastRenderedPageBreak/>
        <w:t>Consultation</w:t>
      </w:r>
    </w:p>
    <w:p w14:paraId="2B6BA91A" w14:textId="03CA0052" w:rsidR="005B0C9A" w:rsidRPr="00E86137" w:rsidRDefault="005B0C9A" w:rsidP="00056799">
      <w:pPr>
        <w:tabs>
          <w:tab w:val="left" w:pos="1490"/>
        </w:tabs>
        <w:jc w:val="both"/>
        <w:rPr>
          <w:rFonts w:ascii="Arial" w:hAnsi="Arial" w:cs="Arial"/>
        </w:rPr>
      </w:pPr>
      <w:r w:rsidRPr="00E86137">
        <w:rPr>
          <w:rFonts w:ascii="Arial" w:hAnsi="Arial" w:cs="Arial"/>
        </w:rPr>
        <w:t xml:space="preserve">The Review of the </w:t>
      </w:r>
      <w:r w:rsidRPr="00346F95">
        <w:rPr>
          <w:rFonts w:ascii="Arial" w:hAnsi="Arial" w:cs="Arial"/>
          <w:i/>
          <w:iCs/>
        </w:rPr>
        <w:t>Fire Service Act 1979 –</w:t>
      </w:r>
      <w:r w:rsidRPr="00E86137">
        <w:rPr>
          <w:rFonts w:ascii="Arial" w:hAnsi="Arial" w:cs="Arial"/>
        </w:rPr>
        <w:t xml:space="preserve"> report by Mike Blake was released publicly in October 2020.  The consultation period was originally proposed to close on 22 November 2021.</w:t>
      </w:r>
      <w:r w:rsidR="008021AA" w:rsidRPr="00E86137">
        <w:rPr>
          <w:rFonts w:ascii="Arial" w:hAnsi="Arial" w:cs="Arial"/>
        </w:rPr>
        <w:t xml:space="preserve"> </w:t>
      </w:r>
      <w:r w:rsidRPr="00E86137">
        <w:rPr>
          <w:rFonts w:ascii="Arial" w:hAnsi="Arial" w:cs="Arial"/>
        </w:rPr>
        <w:t>The Treasury paper – Options Paper Fire Service Funding Arrangements was released publicly in November 2021 with the consultation period ending 6 December 2021.</w:t>
      </w:r>
      <w:r w:rsidR="008021AA" w:rsidRPr="00E86137">
        <w:rPr>
          <w:rFonts w:ascii="Arial" w:hAnsi="Arial" w:cs="Arial"/>
        </w:rPr>
        <w:t xml:space="preserve"> </w:t>
      </w:r>
      <w:r w:rsidRPr="00E86137">
        <w:rPr>
          <w:rFonts w:ascii="Arial" w:hAnsi="Arial" w:cs="Arial"/>
        </w:rPr>
        <w:t>The Minister for Police Fire and Emergency Services extended the period of consultation on the Blake report to coincide with the Treasury paper closing date of 6 December 2021.</w:t>
      </w:r>
    </w:p>
    <w:p w14:paraId="5C431453" w14:textId="77777777" w:rsidR="005B0C9A" w:rsidRPr="00E86137" w:rsidRDefault="005B0C9A" w:rsidP="00056799">
      <w:pPr>
        <w:tabs>
          <w:tab w:val="left" w:pos="1490"/>
        </w:tabs>
        <w:jc w:val="both"/>
        <w:rPr>
          <w:rFonts w:ascii="Arial" w:hAnsi="Arial" w:cs="Arial"/>
        </w:rPr>
      </w:pPr>
      <w:r w:rsidRPr="00E86137">
        <w:rPr>
          <w:rFonts w:ascii="Arial" w:hAnsi="Arial" w:cs="Arial"/>
        </w:rPr>
        <w:t>A significant number of requests were made by parties wishing to make a submission on one or both papers to extend the period for comments.   This was agreed to with the final date for submissions being 20 December 2021.  All parties lodged their submissions by that date.</w:t>
      </w:r>
    </w:p>
    <w:p w14:paraId="146F91BE" w14:textId="777AF000" w:rsidR="005B0C9A" w:rsidRPr="00E86137" w:rsidRDefault="005B0C9A" w:rsidP="00056799">
      <w:pPr>
        <w:tabs>
          <w:tab w:val="left" w:pos="1490"/>
        </w:tabs>
        <w:jc w:val="both"/>
        <w:rPr>
          <w:rFonts w:ascii="Arial" w:hAnsi="Arial" w:cs="Arial"/>
        </w:rPr>
      </w:pPr>
      <w:r w:rsidRPr="00E86137">
        <w:rPr>
          <w:rFonts w:ascii="Arial" w:hAnsi="Arial" w:cs="Arial"/>
        </w:rPr>
        <w:t>A total of 20 submissions were received from</w:t>
      </w:r>
      <w:r w:rsidR="008021AA" w:rsidRPr="00E86137">
        <w:rPr>
          <w:rFonts w:ascii="Arial" w:hAnsi="Arial" w:cs="Arial"/>
        </w:rPr>
        <w:t>:</w:t>
      </w:r>
    </w:p>
    <w:p w14:paraId="1736D47B" w14:textId="42562244"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 xml:space="preserve">Martin Campbell – </w:t>
      </w:r>
      <w:r w:rsidR="008021AA" w:rsidRPr="00E86137">
        <w:rPr>
          <w:rFonts w:ascii="Arial" w:hAnsi="Arial" w:cs="Arial"/>
        </w:rPr>
        <w:t>p</w:t>
      </w:r>
      <w:r w:rsidRPr="00E86137">
        <w:rPr>
          <w:rFonts w:ascii="Arial" w:hAnsi="Arial" w:cs="Arial"/>
        </w:rPr>
        <w:t>rivate citizen</w:t>
      </w:r>
    </w:p>
    <w:p w14:paraId="2D823DD7"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Robert Muller – President SES Volunteers Association</w:t>
      </w:r>
    </w:p>
    <w:p w14:paraId="788B1BB2"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Peter Minucci - Access Business Insurance Consultants</w:t>
      </w:r>
    </w:p>
    <w:p w14:paraId="0BB27D85"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Robert Rex – (REX) Tasmania (Family Trust)</w:t>
      </w:r>
    </w:p>
    <w:p w14:paraId="5986028C"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Paul Stacey - Insurance Council of Australia</w:t>
      </w:r>
    </w:p>
    <w:p w14:paraId="051CADA6"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David Wellfare - Insurance Australia Group</w:t>
      </w:r>
    </w:p>
    <w:p w14:paraId="383E654A"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Henry Ellis – Small Aviation Company</w:t>
      </w:r>
    </w:p>
    <w:p w14:paraId="4CC09343"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David Bowman</w:t>
      </w:r>
      <w:r w:rsidRPr="00E86137">
        <w:rPr>
          <w:rFonts w:ascii="Arial" w:hAnsi="Arial" w:cs="Arial"/>
          <w:b/>
          <w:bCs/>
        </w:rPr>
        <w:t xml:space="preserve"> - </w:t>
      </w:r>
      <w:r w:rsidRPr="00E86137">
        <w:rPr>
          <w:rFonts w:ascii="Arial" w:hAnsi="Arial" w:cs="Arial"/>
        </w:rPr>
        <w:t>Professor of Pyrogeography and Fire Science, University of Tasmania</w:t>
      </w:r>
    </w:p>
    <w:p w14:paraId="12DE40D8" w14:textId="68BCB9E8"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 xml:space="preserve">Andrew Ricketts – </w:t>
      </w:r>
      <w:r w:rsidR="008021AA" w:rsidRPr="00E86137">
        <w:rPr>
          <w:rFonts w:ascii="Arial" w:hAnsi="Arial" w:cs="Arial"/>
        </w:rPr>
        <w:t>p</w:t>
      </w:r>
      <w:r w:rsidRPr="00E86137">
        <w:rPr>
          <w:rFonts w:ascii="Arial" w:hAnsi="Arial" w:cs="Arial"/>
        </w:rPr>
        <w:t xml:space="preserve">rivate </w:t>
      </w:r>
      <w:r w:rsidR="008021AA" w:rsidRPr="00E86137">
        <w:rPr>
          <w:rFonts w:ascii="Arial" w:hAnsi="Arial" w:cs="Arial"/>
        </w:rPr>
        <w:t>c</w:t>
      </w:r>
      <w:r w:rsidRPr="00E86137">
        <w:rPr>
          <w:rFonts w:ascii="Arial" w:hAnsi="Arial" w:cs="Arial"/>
        </w:rPr>
        <w:t>itizen</w:t>
      </w:r>
    </w:p>
    <w:p w14:paraId="736A473A" w14:textId="77777777" w:rsidR="005B0C9A" w:rsidRPr="00E86137" w:rsidRDefault="005B0C9A" w:rsidP="00056799">
      <w:pPr>
        <w:pStyle w:val="ListParagraph"/>
        <w:keepLines/>
        <w:numPr>
          <w:ilvl w:val="0"/>
          <w:numId w:val="1"/>
        </w:numPr>
        <w:tabs>
          <w:tab w:val="clear" w:pos="567"/>
          <w:tab w:val="clear" w:pos="1134"/>
          <w:tab w:val="clear" w:pos="1701"/>
        </w:tabs>
        <w:spacing w:before="100" w:beforeAutospacing="1" w:after="100" w:afterAutospacing="1" w:line="240" w:lineRule="auto"/>
        <w:jc w:val="both"/>
        <w:rPr>
          <w:rFonts w:ascii="Arial" w:hAnsi="Arial" w:cs="Arial"/>
        </w:rPr>
      </w:pPr>
      <w:r w:rsidRPr="00E86137">
        <w:rPr>
          <w:rFonts w:ascii="Arial" w:hAnsi="Arial" w:cs="Arial"/>
        </w:rPr>
        <w:t>Ian Goninon - Chairman of Capital Innovations Insurance Group.</w:t>
      </w:r>
    </w:p>
    <w:p w14:paraId="4F3B7514" w14:textId="77777777" w:rsidR="005B0C9A" w:rsidRPr="00E86137" w:rsidRDefault="005B0C9A" w:rsidP="00056799">
      <w:pPr>
        <w:pStyle w:val="ListParagraph"/>
        <w:keepLines/>
        <w:numPr>
          <w:ilvl w:val="0"/>
          <w:numId w:val="1"/>
        </w:numPr>
        <w:tabs>
          <w:tab w:val="clear" w:pos="567"/>
          <w:tab w:val="clear" w:pos="1134"/>
          <w:tab w:val="clear" w:pos="1701"/>
        </w:tabs>
        <w:spacing w:before="100" w:beforeAutospacing="1" w:after="100" w:afterAutospacing="1" w:line="240" w:lineRule="auto"/>
        <w:jc w:val="both"/>
        <w:rPr>
          <w:rFonts w:ascii="Arial" w:hAnsi="Arial" w:cs="Arial"/>
        </w:rPr>
      </w:pPr>
      <w:r w:rsidRPr="00E86137">
        <w:rPr>
          <w:rFonts w:ascii="Arial" w:hAnsi="Arial" w:cs="Arial"/>
        </w:rPr>
        <w:t>Robert Atkins – President Tasmanian Volunteer Fire Brigades Association</w:t>
      </w:r>
    </w:p>
    <w:p w14:paraId="37076798"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Suncorp Insurance</w:t>
      </w:r>
    </w:p>
    <w:p w14:paraId="321DF834"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Property Council of Australia</w:t>
      </w:r>
    </w:p>
    <w:p w14:paraId="42C7AF64"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National Insurance Brokers Australia</w:t>
      </w:r>
    </w:p>
    <w:p w14:paraId="01A07AA1"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Warratah Wynyard Council</w:t>
      </w:r>
    </w:p>
    <w:p w14:paraId="048D2A2A"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Tasmanian Forest Product Association</w:t>
      </w:r>
    </w:p>
    <w:p w14:paraId="36973F2A"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Tony Dudly – President Northeast Bioregional Network</w:t>
      </w:r>
    </w:p>
    <w:p w14:paraId="635EEC2E"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State Fire Management Commission (SFMC)</w:t>
      </w:r>
    </w:p>
    <w:p w14:paraId="4B978AF5"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Local Government Association of Tasmania (LGAT)</w:t>
      </w:r>
    </w:p>
    <w:p w14:paraId="0FBAC893" w14:textId="77777777" w:rsidR="005B0C9A" w:rsidRPr="00E86137" w:rsidRDefault="005B0C9A" w:rsidP="00056799">
      <w:pPr>
        <w:pStyle w:val="ListParagraph"/>
        <w:keepLines/>
        <w:numPr>
          <w:ilvl w:val="0"/>
          <w:numId w:val="1"/>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E86137">
        <w:rPr>
          <w:rFonts w:ascii="Arial" w:hAnsi="Arial" w:cs="Arial"/>
        </w:rPr>
        <w:t>CPSU</w:t>
      </w:r>
    </w:p>
    <w:p w14:paraId="0BAD74A4" w14:textId="00D66E58" w:rsidR="005B0C9A" w:rsidRPr="00E86137" w:rsidRDefault="005B0C9A" w:rsidP="00056799">
      <w:pPr>
        <w:tabs>
          <w:tab w:val="left" w:pos="1490"/>
        </w:tabs>
        <w:jc w:val="both"/>
        <w:rPr>
          <w:rFonts w:ascii="Arial" w:hAnsi="Arial" w:cs="Arial"/>
        </w:rPr>
      </w:pPr>
      <w:r w:rsidRPr="00E86137">
        <w:rPr>
          <w:rFonts w:ascii="Arial" w:hAnsi="Arial" w:cs="Arial"/>
        </w:rPr>
        <w:t xml:space="preserve">In addition, face to face meetings were held with </w:t>
      </w:r>
      <w:r w:rsidR="00346F95">
        <w:rPr>
          <w:rFonts w:ascii="Arial" w:hAnsi="Arial" w:cs="Arial"/>
        </w:rPr>
        <w:t>t</w:t>
      </w:r>
      <w:r w:rsidRPr="00E86137">
        <w:rPr>
          <w:rFonts w:ascii="Arial" w:hAnsi="Arial" w:cs="Arial"/>
        </w:rPr>
        <w:t>he Chair of the SFC, the Chair of SFMC, the Director of SES, the Department of Treasury and Finance, the CEO of Sustainable Timbers Tasmania (STT), Director of Parks and Wildlife and LGAT. A consultation committee was set up with LGAT.</w:t>
      </w:r>
    </w:p>
    <w:p w14:paraId="186064C3" w14:textId="6D30C063" w:rsidR="005B0C9A" w:rsidRPr="00E86137" w:rsidRDefault="005B0C9A" w:rsidP="00056799">
      <w:pPr>
        <w:tabs>
          <w:tab w:val="left" w:pos="1490"/>
        </w:tabs>
        <w:jc w:val="both"/>
        <w:rPr>
          <w:rFonts w:ascii="Arial" w:hAnsi="Arial" w:cs="Arial"/>
        </w:rPr>
      </w:pPr>
      <w:r w:rsidRPr="00E86137">
        <w:rPr>
          <w:rFonts w:ascii="Arial" w:hAnsi="Arial" w:cs="Arial"/>
        </w:rPr>
        <w:t>The points made in all the responses differ and a number of submissions deal with specific recommendations that are of interest to that organi</w:t>
      </w:r>
      <w:r w:rsidR="008021AA" w:rsidRPr="00E86137">
        <w:rPr>
          <w:rFonts w:ascii="Arial" w:hAnsi="Arial" w:cs="Arial"/>
        </w:rPr>
        <w:t>s</w:t>
      </w:r>
      <w:r w:rsidRPr="00E86137">
        <w:rPr>
          <w:rFonts w:ascii="Arial" w:hAnsi="Arial" w:cs="Arial"/>
        </w:rPr>
        <w:t>ations or individuals’ points of view.</w:t>
      </w:r>
    </w:p>
    <w:p w14:paraId="0251980B" w14:textId="728AA1F2" w:rsidR="00795B43" w:rsidRPr="00E86137" w:rsidRDefault="00795B43" w:rsidP="00056799">
      <w:pPr>
        <w:tabs>
          <w:tab w:val="left" w:pos="1490"/>
        </w:tabs>
        <w:jc w:val="both"/>
        <w:rPr>
          <w:rFonts w:ascii="Arial" w:hAnsi="Arial" w:cs="Arial"/>
        </w:rPr>
      </w:pPr>
    </w:p>
    <w:p w14:paraId="4B73C11E" w14:textId="0A434F32" w:rsidR="00795B43" w:rsidRPr="00E86137" w:rsidRDefault="00795B43" w:rsidP="00056799">
      <w:pPr>
        <w:tabs>
          <w:tab w:val="left" w:pos="1490"/>
        </w:tabs>
        <w:jc w:val="both"/>
        <w:rPr>
          <w:rFonts w:ascii="Arial" w:hAnsi="Arial" w:cs="Arial"/>
        </w:rPr>
      </w:pPr>
    </w:p>
    <w:p w14:paraId="5341E517" w14:textId="77777777" w:rsidR="00795B43" w:rsidRPr="00E86137" w:rsidRDefault="00795B43" w:rsidP="00056799">
      <w:pPr>
        <w:tabs>
          <w:tab w:val="left" w:pos="1490"/>
        </w:tabs>
        <w:jc w:val="both"/>
        <w:rPr>
          <w:rFonts w:ascii="Arial" w:hAnsi="Arial" w:cs="Arial"/>
        </w:rPr>
      </w:pPr>
    </w:p>
    <w:p w14:paraId="4506549F" w14:textId="77777777" w:rsidR="005B0C9A" w:rsidRPr="00E86137" w:rsidRDefault="005B0C9A" w:rsidP="00056799">
      <w:pPr>
        <w:tabs>
          <w:tab w:val="left" w:pos="1490"/>
        </w:tabs>
        <w:jc w:val="both"/>
        <w:rPr>
          <w:rFonts w:ascii="Arial" w:hAnsi="Arial" w:cs="Arial"/>
        </w:rPr>
      </w:pPr>
      <w:r w:rsidRPr="00E86137">
        <w:rPr>
          <w:rFonts w:ascii="Arial" w:hAnsi="Arial" w:cs="Arial"/>
        </w:rPr>
        <w:lastRenderedPageBreak/>
        <w:t>The specifics of the individual submissions will be referenced in the sections dealing with the individual recommendations from the Blake Review.</w:t>
      </w:r>
    </w:p>
    <w:p w14:paraId="1EE9320D" w14:textId="6089FDFC" w:rsidR="005B0C9A" w:rsidRPr="00E86137" w:rsidRDefault="00D060DC">
      <w:pPr>
        <w:tabs>
          <w:tab w:val="left" w:pos="1490"/>
        </w:tabs>
        <w:jc w:val="both"/>
        <w:rPr>
          <w:rFonts w:ascii="Arial" w:hAnsi="Arial" w:cs="Arial"/>
        </w:rPr>
      </w:pPr>
      <w:r w:rsidRPr="00E86137">
        <w:rPr>
          <w:rFonts w:ascii="Arial" w:hAnsi="Arial" w:cs="Arial"/>
        </w:rPr>
        <w:t xml:space="preserve">This Report groups stakeholder feedback and commentary </w:t>
      </w:r>
      <w:r w:rsidR="00F75278" w:rsidRPr="00E86137">
        <w:rPr>
          <w:rFonts w:ascii="Arial" w:hAnsi="Arial" w:cs="Arial"/>
        </w:rPr>
        <w:t xml:space="preserve">in accordance with the key themes of the Blake Review namely: </w:t>
      </w:r>
    </w:p>
    <w:p w14:paraId="63528C36" w14:textId="48E72088" w:rsidR="00F75278" w:rsidRPr="00E86137" w:rsidRDefault="00F75278">
      <w:pPr>
        <w:tabs>
          <w:tab w:val="left" w:pos="1490"/>
        </w:tabs>
        <w:jc w:val="both"/>
        <w:rPr>
          <w:rFonts w:ascii="Arial" w:hAnsi="Arial" w:cs="Arial"/>
        </w:rPr>
      </w:pPr>
    </w:p>
    <w:p w14:paraId="65D7E881" w14:textId="43120399" w:rsidR="00F75278" w:rsidRPr="00E86137" w:rsidRDefault="00F75278" w:rsidP="00056799">
      <w:pPr>
        <w:pStyle w:val="ListParagraph"/>
        <w:numPr>
          <w:ilvl w:val="0"/>
          <w:numId w:val="63"/>
        </w:numPr>
        <w:tabs>
          <w:tab w:val="left" w:pos="1490"/>
        </w:tabs>
        <w:ind w:hanging="720"/>
        <w:jc w:val="both"/>
        <w:rPr>
          <w:rFonts w:ascii="Arial" w:hAnsi="Arial" w:cs="Arial"/>
        </w:rPr>
      </w:pPr>
      <w:r w:rsidRPr="00E86137">
        <w:rPr>
          <w:rFonts w:ascii="Arial" w:hAnsi="Arial" w:cs="Arial"/>
        </w:rPr>
        <w:t>Theme 1</w:t>
      </w:r>
      <w:r w:rsidR="004E25CF" w:rsidRPr="00E86137">
        <w:rPr>
          <w:rFonts w:ascii="Arial" w:hAnsi="Arial" w:cs="Arial"/>
        </w:rPr>
        <w:t xml:space="preserve"> – Functions and Operating Platform</w:t>
      </w:r>
      <w:r w:rsidR="00577E04" w:rsidRPr="00E86137">
        <w:rPr>
          <w:rFonts w:ascii="Arial" w:hAnsi="Arial" w:cs="Arial"/>
        </w:rPr>
        <w:t xml:space="preserve"> recommendations </w:t>
      </w:r>
    </w:p>
    <w:p w14:paraId="30AA5702" w14:textId="14FD4EFF" w:rsidR="004E25CF" w:rsidRPr="00E86137" w:rsidRDefault="004E25CF" w:rsidP="00056799">
      <w:pPr>
        <w:pStyle w:val="ListParagraph"/>
        <w:numPr>
          <w:ilvl w:val="0"/>
          <w:numId w:val="63"/>
        </w:numPr>
        <w:tabs>
          <w:tab w:val="left" w:pos="1490"/>
        </w:tabs>
        <w:ind w:hanging="720"/>
        <w:jc w:val="both"/>
        <w:rPr>
          <w:rFonts w:ascii="Arial" w:hAnsi="Arial" w:cs="Arial"/>
        </w:rPr>
      </w:pPr>
      <w:r w:rsidRPr="00E86137">
        <w:rPr>
          <w:rFonts w:ascii="Arial" w:hAnsi="Arial" w:cs="Arial"/>
        </w:rPr>
        <w:t xml:space="preserve">Theme 2 – Governance </w:t>
      </w:r>
      <w:r w:rsidR="00577E04" w:rsidRPr="00E86137">
        <w:rPr>
          <w:rFonts w:ascii="Arial" w:hAnsi="Arial" w:cs="Arial"/>
        </w:rPr>
        <w:t xml:space="preserve">recommendations </w:t>
      </w:r>
    </w:p>
    <w:p w14:paraId="641C553E" w14:textId="07717C27" w:rsidR="004E25CF" w:rsidRPr="00E86137" w:rsidRDefault="004E25CF" w:rsidP="00056799">
      <w:pPr>
        <w:pStyle w:val="ListParagraph"/>
        <w:numPr>
          <w:ilvl w:val="0"/>
          <w:numId w:val="63"/>
        </w:numPr>
        <w:tabs>
          <w:tab w:val="left" w:pos="1490"/>
        </w:tabs>
        <w:ind w:hanging="720"/>
        <w:jc w:val="both"/>
        <w:rPr>
          <w:rFonts w:ascii="Arial" w:hAnsi="Arial" w:cs="Arial"/>
        </w:rPr>
      </w:pPr>
      <w:r w:rsidRPr="00E86137">
        <w:rPr>
          <w:rFonts w:ascii="Arial" w:hAnsi="Arial" w:cs="Arial"/>
        </w:rPr>
        <w:t xml:space="preserve">Theme 3 – Financial Management </w:t>
      </w:r>
      <w:r w:rsidR="00577E04" w:rsidRPr="00E86137">
        <w:rPr>
          <w:rFonts w:ascii="Arial" w:hAnsi="Arial" w:cs="Arial"/>
        </w:rPr>
        <w:t xml:space="preserve">recommendations </w:t>
      </w:r>
    </w:p>
    <w:p w14:paraId="3A8A04CF" w14:textId="62111290" w:rsidR="004E25CF" w:rsidRPr="00E86137" w:rsidRDefault="004E25CF" w:rsidP="00056799">
      <w:pPr>
        <w:pStyle w:val="ListParagraph"/>
        <w:numPr>
          <w:ilvl w:val="0"/>
          <w:numId w:val="63"/>
        </w:numPr>
        <w:tabs>
          <w:tab w:val="left" w:pos="1490"/>
        </w:tabs>
        <w:ind w:hanging="720"/>
        <w:jc w:val="both"/>
        <w:rPr>
          <w:rFonts w:ascii="Arial" w:hAnsi="Arial" w:cs="Arial"/>
        </w:rPr>
      </w:pPr>
      <w:r w:rsidRPr="00E86137">
        <w:rPr>
          <w:rFonts w:ascii="Arial" w:hAnsi="Arial" w:cs="Arial"/>
        </w:rPr>
        <w:t xml:space="preserve">Theme 4 – Volunteers </w:t>
      </w:r>
      <w:r w:rsidR="00577E04" w:rsidRPr="00E86137">
        <w:rPr>
          <w:rFonts w:ascii="Arial" w:hAnsi="Arial" w:cs="Arial"/>
        </w:rPr>
        <w:t xml:space="preserve">recommendations </w:t>
      </w:r>
    </w:p>
    <w:p w14:paraId="194185F3" w14:textId="4538FD22" w:rsidR="004E25CF" w:rsidRPr="00E86137" w:rsidRDefault="004E25CF" w:rsidP="00056799">
      <w:pPr>
        <w:pStyle w:val="ListParagraph"/>
        <w:numPr>
          <w:ilvl w:val="0"/>
          <w:numId w:val="63"/>
        </w:numPr>
        <w:tabs>
          <w:tab w:val="left" w:pos="1490"/>
        </w:tabs>
        <w:ind w:hanging="720"/>
        <w:jc w:val="both"/>
        <w:rPr>
          <w:rFonts w:ascii="Arial" w:hAnsi="Arial" w:cs="Arial"/>
        </w:rPr>
      </w:pPr>
      <w:r w:rsidRPr="00E86137">
        <w:rPr>
          <w:rFonts w:ascii="Arial" w:hAnsi="Arial" w:cs="Arial"/>
        </w:rPr>
        <w:t>Theme 5 – Operational and Other Matters</w:t>
      </w:r>
      <w:r w:rsidR="00577E04" w:rsidRPr="00E86137">
        <w:rPr>
          <w:rFonts w:ascii="Arial" w:hAnsi="Arial" w:cs="Arial"/>
        </w:rPr>
        <w:t xml:space="preserve"> recommendations </w:t>
      </w:r>
    </w:p>
    <w:p w14:paraId="03387BD5" w14:textId="40FA1D07" w:rsidR="004E25CF" w:rsidRPr="00E86137" w:rsidRDefault="00AA4D84" w:rsidP="00056799">
      <w:pPr>
        <w:tabs>
          <w:tab w:val="left" w:pos="1490"/>
        </w:tabs>
        <w:jc w:val="both"/>
        <w:rPr>
          <w:rFonts w:ascii="Arial" w:hAnsi="Arial" w:cs="Arial"/>
        </w:rPr>
      </w:pPr>
      <w:r w:rsidRPr="00E86137">
        <w:rPr>
          <w:rFonts w:ascii="Arial" w:hAnsi="Arial" w:cs="Arial"/>
        </w:rPr>
        <w:t xml:space="preserve"> </w:t>
      </w:r>
    </w:p>
    <w:p w14:paraId="5030E122" w14:textId="77777777" w:rsidR="00577E04" w:rsidRPr="007B5582" w:rsidRDefault="00577E04" w:rsidP="00577E04">
      <w:pPr>
        <w:rPr>
          <w:rFonts w:ascii="Arial" w:hAnsi="Arial" w:cs="Arial"/>
        </w:rPr>
      </w:pPr>
      <w:r w:rsidRPr="007B5582">
        <w:rPr>
          <w:rFonts w:ascii="Arial" w:hAnsi="Arial" w:cs="Arial"/>
        </w:rPr>
        <w:t xml:space="preserve">In addition, stakeholder commentary and consultation outcomes in respect to the </w:t>
      </w:r>
      <w:r w:rsidRPr="007B5582">
        <w:rPr>
          <w:rFonts w:ascii="Arial" w:hAnsi="Arial" w:cs="Arial"/>
          <w:i/>
          <w:iCs/>
        </w:rPr>
        <w:t>Bushfire Mitigation Measures Bill</w:t>
      </w:r>
      <w:r w:rsidRPr="007B5582">
        <w:rPr>
          <w:rFonts w:ascii="Arial" w:hAnsi="Arial" w:cs="Arial"/>
        </w:rPr>
        <w:t xml:space="preserve"> proposals which, although not part of the Blake Review, are also included in this Report and recommended for consideration within a new Act.</w:t>
      </w:r>
    </w:p>
    <w:p w14:paraId="5638778C" w14:textId="791A1868" w:rsidR="00AA4D84" w:rsidRPr="00616C59" w:rsidRDefault="00AA4D84" w:rsidP="00056799">
      <w:pPr>
        <w:tabs>
          <w:tab w:val="left" w:pos="1490"/>
        </w:tabs>
        <w:jc w:val="both"/>
        <w:rPr>
          <w:rFonts w:ascii="Arial" w:hAnsi="Arial" w:cs="Arial"/>
        </w:rPr>
      </w:pPr>
    </w:p>
    <w:p w14:paraId="1B1F147B" w14:textId="77777777" w:rsidR="00562E5B" w:rsidRPr="007B5582" w:rsidRDefault="00577E04" w:rsidP="00577E04">
      <w:pPr>
        <w:tabs>
          <w:tab w:val="left" w:pos="1490"/>
        </w:tabs>
        <w:jc w:val="both"/>
        <w:rPr>
          <w:rFonts w:ascii="Arial" w:hAnsi="Arial" w:cs="Arial"/>
          <w:b/>
          <w:bCs/>
          <w:color w:val="005B9A" w:themeColor="accent1"/>
          <w:sz w:val="32"/>
          <w:szCs w:val="32"/>
        </w:rPr>
      </w:pPr>
      <w:bookmarkStart w:id="2" w:name="_Hlk115252263"/>
      <w:r w:rsidRPr="007B5582">
        <w:rPr>
          <w:rFonts w:ascii="Arial" w:hAnsi="Arial" w:cs="Arial"/>
          <w:b/>
          <w:bCs/>
          <w:color w:val="005B9A" w:themeColor="accent1"/>
          <w:sz w:val="32"/>
          <w:szCs w:val="32"/>
        </w:rPr>
        <w:t xml:space="preserve">Stakeholder Feedback </w:t>
      </w:r>
    </w:p>
    <w:p w14:paraId="2E8A9E79" w14:textId="77777777" w:rsidR="00FC02E4" w:rsidRDefault="00FC02E4" w:rsidP="00826D39">
      <w:pPr>
        <w:pBdr>
          <w:bottom w:val="single" w:sz="12" w:space="1" w:color="005B9A" w:themeColor="accent1"/>
        </w:pBdr>
        <w:tabs>
          <w:tab w:val="left" w:pos="1490"/>
        </w:tabs>
        <w:jc w:val="both"/>
        <w:rPr>
          <w:rFonts w:ascii="Arial" w:hAnsi="Arial" w:cs="Arial"/>
          <w:color w:val="005B9A" w:themeColor="accent1"/>
        </w:rPr>
      </w:pPr>
    </w:p>
    <w:p w14:paraId="54ED8007" w14:textId="12C51A32" w:rsidR="00056799" w:rsidRPr="007B5582" w:rsidRDefault="00577E04" w:rsidP="00826D39">
      <w:pPr>
        <w:pBdr>
          <w:bottom w:val="single" w:sz="12" w:space="1" w:color="005B9A" w:themeColor="accent1"/>
        </w:pBdr>
        <w:tabs>
          <w:tab w:val="left" w:pos="1490"/>
        </w:tabs>
        <w:jc w:val="both"/>
        <w:rPr>
          <w:rFonts w:ascii="Arial" w:hAnsi="Arial" w:cs="Arial"/>
          <w:color w:val="005B9A" w:themeColor="accent1"/>
          <w:sz w:val="28"/>
          <w:szCs w:val="28"/>
        </w:rPr>
      </w:pPr>
      <w:r w:rsidRPr="007B5582">
        <w:rPr>
          <w:rFonts w:ascii="Arial" w:hAnsi="Arial" w:cs="Arial"/>
          <w:color w:val="005B9A" w:themeColor="accent1"/>
          <w:sz w:val="28"/>
          <w:szCs w:val="28"/>
        </w:rPr>
        <w:t xml:space="preserve">Functions and Operating </w:t>
      </w:r>
      <w:r w:rsidR="00313C01" w:rsidRPr="007B5582">
        <w:rPr>
          <w:rFonts w:ascii="Arial" w:hAnsi="Arial" w:cs="Arial"/>
          <w:color w:val="005B9A" w:themeColor="accent1"/>
          <w:sz w:val="28"/>
          <w:szCs w:val="28"/>
        </w:rPr>
        <w:t>Platform Blake</w:t>
      </w:r>
      <w:r w:rsidR="00182263" w:rsidRPr="007B5582">
        <w:rPr>
          <w:rFonts w:ascii="Arial" w:hAnsi="Arial" w:cs="Arial"/>
          <w:color w:val="005B9A" w:themeColor="accent1"/>
          <w:sz w:val="28"/>
          <w:szCs w:val="28"/>
        </w:rPr>
        <w:t xml:space="preserve"> </w:t>
      </w:r>
      <w:r w:rsidRPr="007B5582">
        <w:rPr>
          <w:rFonts w:ascii="Arial" w:hAnsi="Arial" w:cs="Arial"/>
          <w:color w:val="005B9A" w:themeColor="accent1"/>
          <w:sz w:val="28"/>
          <w:szCs w:val="28"/>
        </w:rPr>
        <w:t>Recommendations 1-7</w:t>
      </w:r>
      <w:bookmarkEnd w:id="2"/>
      <w:r w:rsidRPr="007B5582">
        <w:rPr>
          <w:rFonts w:ascii="Arial" w:hAnsi="Arial" w:cs="Arial"/>
          <w:color w:val="005B9A" w:themeColor="accent1"/>
          <w:sz w:val="28"/>
          <w:szCs w:val="28"/>
        </w:rPr>
        <w:t xml:space="preserve">  </w:t>
      </w:r>
    </w:p>
    <w:p w14:paraId="513A4CCB" w14:textId="43099136" w:rsidR="005B0C9A" w:rsidRPr="00616C59" w:rsidRDefault="005B0C9A" w:rsidP="008021AA">
      <w:pPr>
        <w:tabs>
          <w:tab w:val="left" w:pos="1490"/>
        </w:tabs>
        <w:jc w:val="both"/>
        <w:rPr>
          <w:rFonts w:ascii="Arial" w:hAnsi="Arial" w:cs="Arial"/>
        </w:rPr>
      </w:pPr>
      <w:r w:rsidRPr="00616C59">
        <w:rPr>
          <w:rFonts w:ascii="Arial" w:hAnsi="Arial" w:cs="Arial"/>
        </w:rPr>
        <w:t>Recommendation 1 was not opposed by any party including the S</w:t>
      </w:r>
      <w:r w:rsidR="005A736D">
        <w:rPr>
          <w:rFonts w:ascii="Arial" w:hAnsi="Arial" w:cs="Arial"/>
        </w:rPr>
        <w:t xml:space="preserve">tate Emergency Service (SES) </w:t>
      </w:r>
      <w:r w:rsidRPr="00616C59">
        <w:rPr>
          <w:rFonts w:ascii="Arial" w:hAnsi="Arial" w:cs="Arial"/>
        </w:rPr>
        <w:t>Volunteer Association. The areas of concern were the continuing existence of the SES brand and livery and the overall budget currently estimated to be approximately $5m short of requirements (100% increase on current budget).</w:t>
      </w:r>
    </w:p>
    <w:p w14:paraId="6A79AEFB" w14:textId="2C889E62" w:rsidR="005B0C9A" w:rsidRPr="00616C59" w:rsidRDefault="005B0C9A" w:rsidP="008021AA">
      <w:pPr>
        <w:tabs>
          <w:tab w:val="left" w:pos="1490"/>
        </w:tabs>
        <w:jc w:val="both"/>
        <w:rPr>
          <w:rFonts w:ascii="Arial" w:hAnsi="Arial" w:cs="Arial"/>
        </w:rPr>
      </w:pPr>
      <w:r w:rsidRPr="00616C59">
        <w:rPr>
          <w:rFonts w:ascii="Arial" w:hAnsi="Arial" w:cs="Arial"/>
        </w:rPr>
        <w:t xml:space="preserve">Recommendations 2, 3, and 4 are non-controversial and not opposed by any party and go to the creation of a Tasmania Fire and Emergency Service (TFES) to replace </w:t>
      </w:r>
      <w:r w:rsidR="00267B1B">
        <w:rPr>
          <w:rFonts w:ascii="Arial" w:hAnsi="Arial" w:cs="Arial"/>
        </w:rPr>
        <w:t xml:space="preserve">the current separate entities of the </w:t>
      </w:r>
      <w:r w:rsidR="00562E5B" w:rsidRPr="00616C59">
        <w:rPr>
          <w:rFonts w:ascii="Arial" w:hAnsi="Arial" w:cs="Arial"/>
        </w:rPr>
        <w:t>T</w:t>
      </w:r>
      <w:r w:rsidR="00562E5B">
        <w:rPr>
          <w:rFonts w:ascii="Arial" w:hAnsi="Arial" w:cs="Arial"/>
        </w:rPr>
        <w:t>asmania</w:t>
      </w:r>
      <w:r w:rsidR="005A736D">
        <w:rPr>
          <w:rFonts w:ascii="Arial" w:hAnsi="Arial" w:cs="Arial"/>
        </w:rPr>
        <w:t xml:space="preserve"> Fire Service (TFS) a</w:t>
      </w:r>
      <w:r w:rsidRPr="00616C59">
        <w:rPr>
          <w:rFonts w:ascii="Arial" w:hAnsi="Arial" w:cs="Arial"/>
        </w:rPr>
        <w:t>nd SES as well as prescribing the roles and functions of the new entity and maintaining the functions currently exercised by the Director of SES under the Emergency Management Act.</w:t>
      </w:r>
    </w:p>
    <w:p w14:paraId="593ACC91" w14:textId="77777777" w:rsidR="005B0C9A" w:rsidRPr="00616C59" w:rsidRDefault="005B0C9A" w:rsidP="008021AA">
      <w:pPr>
        <w:tabs>
          <w:tab w:val="left" w:pos="1490"/>
        </w:tabs>
        <w:jc w:val="both"/>
        <w:rPr>
          <w:rFonts w:ascii="Arial" w:hAnsi="Arial" w:cs="Arial"/>
        </w:rPr>
      </w:pPr>
      <w:r w:rsidRPr="00616C59">
        <w:rPr>
          <w:rFonts w:ascii="Arial" w:hAnsi="Arial" w:cs="Arial"/>
        </w:rPr>
        <w:t>The roles and functions of the new entity mirror their current functions.</w:t>
      </w:r>
    </w:p>
    <w:p w14:paraId="6EDD697A" w14:textId="77777777" w:rsidR="000F0162" w:rsidRPr="00056799" w:rsidRDefault="000F0162" w:rsidP="000F0162">
      <w:pPr>
        <w:tabs>
          <w:tab w:val="left" w:pos="1490"/>
        </w:tabs>
        <w:jc w:val="both"/>
        <w:rPr>
          <w:rFonts w:ascii="Arial" w:hAnsi="Arial" w:cs="Arial"/>
        </w:rPr>
      </w:pPr>
      <w:r w:rsidRPr="00056799">
        <w:rPr>
          <w:rFonts w:ascii="Arial" w:hAnsi="Arial" w:cs="Arial"/>
        </w:rPr>
        <w:t>Recommendation 5 - Do not combine the firefighting capabilities of Parks and Wildlife and Sustainable Timber Australia with TFES.</w:t>
      </w:r>
    </w:p>
    <w:p w14:paraId="3F2472EB" w14:textId="77777777" w:rsidR="000F0162" w:rsidRPr="00056799" w:rsidRDefault="000F0162" w:rsidP="000F0162">
      <w:pPr>
        <w:tabs>
          <w:tab w:val="left" w:pos="1490"/>
        </w:tabs>
        <w:jc w:val="both"/>
        <w:rPr>
          <w:rFonts w:ascii="Arial" w:hAnsi="Arial" w:cs="Arial"/>
        </w:rPr>
      </w:pPr>
      <w:r w:rsidRPr="00056799">
        <w:rPr>
          <w:rFonts w:ascii="Arial" w:hAnsi="Arial" w:cs="Arial"/>
        </w:rPr>
        <w:t>This recommendation was supported by a number of submissions and not opposed by any submission. Further consultation with Parks and Wildlife and Sustainable Timbers Australia confirms their view that current arrangements should remain.   This should be supported.</w:t>
      </w:r>
    </w:p>
    <w:p w14:paraId="7459761D" w14:textId="77777777" w:rsidR="000F0162" w:rsidRPr="00056799" w:rsidRDefault="000F0162" w:rsidP="000F0162">
      <w:pPr>
        <w:tabs>
          <w:tab w:val="left" w:pos="1490"/>
        </w:tabs>
        <w:jc w:val="both"/>
        <w:rPr>
          <w:rFonts w:ascii="Arial" w:hAnsi="Arial" w:cs="Arial"/>
        </w:rPr>
      </w:pPr>
      <w:r w:rsidRPr="00056799">
        <w:rPr>
          <w:rFonts w:ascii="Arial" w:hAnsi="Arial" w:cs="Arial"/>
        </w:rPr>
        <w:t>Recommendation 6 – Include all relevant emergency management entities in negotiations for an inter-agency fire management protocol to be approved by the State Controller.</w:t>
      </w:r>
    </w:p>
    <w:p w14:paraId="4482C9DF" w14:textId="77777777" w:rsidR="00346F95" w:rsidRDefault="00346F95" w:rsidP="000F0162">
      <w:pPr>
        <w:tabs>
          <w:tab w:val="left" w:pos="1490"/>
        </w:tabs>
        <w:jc w:val="both"/>
        <w:rPr>
          <w:rFonts w:ascii="Arial" w:hAnsi="Arial" w:cs="Arial"/>
        </w:rPr>
      </w:pPr>
    </w:p>
    <w:p w14:paraId="27011AB3" w14:textId="77777777" w:rsidR="00346F95" w:rsidRDefault="00346F95" w:rsidP="000F0162">
      <w:pPr>
        <w:tabs>
          <w:tab w:val="left" w:pos="1490"/>
        </w:tabs>
        <w:jc w:val="both"/>
        <w:rPr>
          <w:rFonts w:ascii="Arial" w:hAnsi="Arial" w:cs="Arial"/>
        </w:rPr>
      </w:pPr>
    </w:p>
    <w:p w14:paraId="2FF5D5EE" w14:textId="77777777" w:rsidR="00346F95" w:rsidRDefault="00346F95" w:rsidP="000F0162">
      <w:pPr>
        <w:tabs>
          <w:tab w:val="left" w:pos="1490"/>
        </w:tabs>
        <w:jc w:val="both"/>
        <w:rPr>
          <w:rFonts w:ascii="Arial" w:hAnsi="Arial" w:cs="Arial"/>
        </w:rPr>
      </w:pPr>
    </w:p>
    <w:p w14:paraId="27152116" w14:textId="706A1007" w:rsidR="000F0162" w:rsidRPr="00056799" w:rsidRDefault="000F0162" w:rsidP="000F0162">
      <w:pPr>
        <w:tabs>
          <w:tab w:val="left" w:pos="1490"/>
        </w:tabs>
        <w:jc w:val="both"/>
        <w:rPr>
          <w:rFonts w:ascii="Arial" w:hAnsi="Arial" w:cs="Arial"/>
        </w:rPr>
      </w:pPr>
      <w:r w:rsidRPr="00056799">
        <w:rPr>
          <w:rFonts w:ascii="Arial" w:hAnsi="Arial" w:cs="Arial"/>
        </w:rPr>
        <w:lastRenderedPageBreak/>
        <w:t xml:space="preserve">There was no opposition to this recommendation from any submission.   </w:t>
      </w:r>
    </w:p>
    <w:p w14:paraId="70A307DB" w14:textId="4F3C3DB7" w:rsidR="000F0162" w:rsidRPr="00056799" w:rsidRDefault="000F0162" w:rsidP="000F0162">
      <w:pPr>
        <w:tabs>
          <w:tab w:val="left" w:pos="1490"/>
        </w:tabs>
        <w:jc w:val="both"/>
        <w:rPr>
          <w:rFonts w:ascii="Arial" w:hAnsi="Arial" w:cs="Arial"/>
        </w:rPr>
      </w:pPr>
      <w:r w:rsidRPr="00056799">
        <w:rPr>
          <w:rFonts w:ascii="Arial" w:hAnsi="Arial" w:cs="Arial"/>
        </w:rPr>
        <w:t>The recommendation improves the current situation regarding the agreed protocols between TFS, PWS and STT being expanded to include other entities such as SFC, DPAC, DPFEM, SFMC and SES as appropriate and should be supported.</w:t>
      </w:r>
    </w:p>
    <w:p w14:paraId="3971459C" w14:textId="77777777" w:rsidR="000F0162" w:rsidRPr="00056799" w:rsidRDefault="000F0162" w:rsidP="000F0162">
      <w:pPr>
        <w:tabs>
          <w:tab w:val="left" w:pos="1490"/>
        </w:tabs>
        <w:jc w:val="both"/>
        <w:rPr>
          <w:rFonts w:ascii="Arial" w:hAnsi="Arial" w:cs="Arial"/>
        </w:rPr>
      </w:pPr>
      <w:r w:rsidRPr="00056799">
        <w:rPr>
          <w:rFonts w:ascii="Arial" w:hAnsi="Arial" w:cs="Arial"/>
        </w:rPr>
        <w:t>Recommendation 7 – Ensure role in recovery of DPAC remain unchanged and acknowledge the support role of TFES in recovery.</w:t>
      </w:r>
    </w:p>
    <w:p w14:paraId="564BCBD8" w14:textId="49883E9F" w:rsidR="005A736D" w:rsidRDefault="000F0162" w:rsidP="000F0162">
      <w:pPr>
        <w:tabs>
          <w:tab w:val="left" w:pos="1490"/>
        </w:tabs>
        <w:jc w:val="both"/>
        <w:rPr>
          <w:rFonts w:ascii="Arial" w:hAnsi="Arial" w:cs="Arial"/>
        </w:rPr>
      </w:pPr>
      <w:r w:rsidRPr="00056799">
        <w:rPr>
          <w:rFonts w:ascii="Arial" w:hAnsi="Arial" w:cs="Arial"/>
        </w:rPr>
        <w:t>This is not contested in submission or by any other party and should be supported</w:t>
      </w:r>
    </w:p>
    <w:p w14:paraId="34F7D00F" w14:textId="61F23762" w:rsidR="000F0162" w:rsidRDefault="000F0162" w:rsidP="008021AA">
      <w:pPr>
        <w:tabs>
          <w:tab w:val="left" w:pos="1490"/>
        </w:tabs>
        <w:jc w:val="both"/>
        <w:rPr>
          <w:rFonts w:ascii="Arial" w:hAnsi="Arial" w:cs="Arial"/>
          <w:color w:val="005B9A" w:themeColor="accent1"/>
        </w:rPr>
      </w:pPr>
    </w:p>
    <w:p w14:paraId="3C06D40C" w14:textId="16E51864" w:rsidR="00681E79" w:rsidRPr="00826D39" w:rsidRDefault="00681E79" w:rsidP="00681E79">
      <w:pPr>
        <w:pBdr>
          <w:bottom w:val="single" w:sz="12" w:space="1" w:color="005B9A" w:themeColor="accent1"/>
        </w:pBdr>
        <w:tabs>
          <w:tab w:val="left" w:pos="1490"/>
        </w:tabs>
        <w:ind w:left="360" w:hanging="360"/>
        <w:jc w:val="both"/>
        <w:rPr>
          <w:rFonts w:ascii="Arial" w:hAnsi="Arial" w:cs="Arial"/>
        </w:rPr>
      </w:pPr>
      <w:r>
        <w:rPr>
          <w:rFonts w:ascii="Arial" w:hAnsi="Arial" w:cs="Arial"/>
          <w:color w:val="005B9A" w:themeColor="accent1"/>
          <w:sz w:val="28"/>
          <w:szCs w:val="28"/>
        </w:rPr>
        <w:t>Governance</w:t>
      </w:r>
      <w:r w:rsidRPr="0027602E">
        <w:rPr>
          <w:rFonts w:ascii="Arial" w:hAnsi="Arial" w:cs="Arial"/>
          <w:color w:val="005B9A" w:themeColor="accent1"/>
          <w:sz w:val="28"/>
          <w:szCs w:val="28"/>
        </w:rPr>
        <w:t xml:space="preserve"> Blake Review Recommendations </w:t>
      </w:r>
      <w:r>
        <w:rPr>
          <w:rFonts w:ascii="Arial" w:hAnsi="Arial" w:cs="Arial"/>
          <w:color w:val="005B9A" w:themeColor="accent1"/>
          <w:sz w:val="28"/>
          <w:szCs w:val="28"/>
        </w:rPr>
        <w:t>8 and 9</w:t>
      </w:r>
      <w:r w:rsidRPr="0027602E">
        <w:rPr>
          <w:rFonts w:ascii="Arial" w:hAnsi="Arial" w:cs="Arial"/>
          <w:color w:val="005B9A" w:themeColor="accent1"/>
          <w:sz w:val="28"/>
          <w:szCs w:val="28"/>
        </w:rPr>
        <w:t xml:space="preserve">  </w:t>
      </w:r>
    </w:p>
    <w:p w14:paraId="3FC6BA68" w14:textId="4DAAE1C9" w:rsidR="005B0C9A" w:rsidRPr="00616C59" w:rsidRDefault="005B0C9A" w:rsidP="008021AA">
      <w:pPr>
        <w:tabs>
          <w:tab w:val="left" w:pos="1490"/>
        </w:tabs>
        <w:jc w:val="both"/>
        <w:rPr>
          <w:rFonts w:ascii="Arial" w:hAnsi="Arial" w:cs="Arial"/>
        </w:rPr>
      </w:pPr>
      <w:r w:rsidRPr="00616C59">
        <w:rPr>
          <w:rFonts w:ascii="Arial" w:hAnsi="Arial" w:cs="Arial"/>
        </w:rPr>
        <w:t>Recommendation 8 of the Blake report is to develop a governance model for the TFES.</w:t>
      </w:r>
    </w:p>
    <w:p w14:paraId="45E9F88E" w14:textId="77777777" w:rsidR="005B0C9A" w:rsidRPr="00616C59" w:rsidRDefault="005B0C9A" w:rsidP="008021AA">
      <w:pPr>
        <w:tabs>
          <w:tab w:val="left" w:pos="1490"/>
        </w:tabs>
        <w:jc w:val="both"/>
        <w:rPr>
          <w:rFonts w:ascii="Arial" w:hAnsi="Arial" w:cs="Arial"/>
        </w:rPr>
      </w:pPr>
      <w:r w:rsidRPr="00616C59">
        <w:rPr>
          <w:rFonts w:ascii="Arial" w:hAnsi="Arial" w:cs="Arial"/>
        </w:rPr>
        <w:t>The governance model for TFS has been the subject of much discussion and debate over many years.  There are mixed views on the retention of the State Authority model or the adoption of a fully integrated Departmental model into the DPFEM.  After consideration of all the submissions to the Blake review the final recommendation is for</w:t>
      </w:r>
    </w:p>
    <w:p w14:paraId="3BF13215" w14:textId="77777777" w:rsidR="005B0C9A" w:rsidRPr="00616C59" w:rsidRDefault="005B0C9A" w:rsidP="00056799">
      <w:pPr>
        <w:pStyle w:val="ListParagraph"/>
        <w:keepLines/>
        <w:numPr>
          <w:ilvl w:val="0"/>
          <w:numId w:val="58"/>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A governance model for TFES that transitions it to a division within DPFEM subject to the ringfencing of levies raised and appropriate reporting arrangements between the Minister and the head of TFES</w:t>
      </w:r>
    </w:p>
    <w:p w14:paraId="2F1B28F2" w14:textId="06BDDE1A" w:rsidR="005B0C9A" w:rsidRPr="00616C59" w:rsidRDefault="005B0C9A" w:rsidP="00056799">
      <w:pPr>
        <w:pStyle w:val="ListParagraph"/>
        <w:keepLines/>
        <w:numPr>
          <w:ilvl w:val="0"/>
          <w:numId w:val="58"/>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 xml:space="preserve">Abolishing </w:t>
      </w:r>
      <w:r w:rsidR="008021AA">
        <w:rPr>
          <w:rFonts w:ascii="Arial" w:hAnsi="Arial" w:cs="Arial"/>
        </w:rPr>
        <w:t>the SFC</w:t>
      </w:r>
    </w:p>
    <w:p w14:paraId="3FFE932C" w14:textId="77777777" w:rsidR="005B0C9A" w:rsidRPr="00616C59" w:rsidRDefault="005B0C9A" w:rsidP="00056799">
      <w:pPr>
        <w:pStyle w:val="ListParagraph"/>
        <w:keepLines/>
        <w:numPr>
          <w:ilvl w:val="0"/>
          <w:numId w:val="58"/>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Broadening the role of the SMFC and revisiting the membership including relevant membership transitioned from the SFC.</w:t>
      </w:r>
    </w:p>
    <w:p w14:paraId="2460CEDC" w14:textId="77777777" w:rsidR="005B0C9A" w:rsidRPr="00616C59" w:rsidRDefault="005B0C9A" w:rsidP="008021AA">
      <w:pPr>
        <w:tabs>
          <w:tab w:val="left" w:pos="1490"/>
        </w:tabs>
        <w:jc w:val="both"/>
        <w:rPr>
          <w:rFonts w:ascii="Arial" w:hAnsi="Arial" w:cs="Arial"/>
        </w:rPr>
      </w:pPr>
      <w:r w:rsidRPr="00616C59">
        <w:rPr>
          <w:rFonts w:ascii="Arial" w:hAnsi="Arial" w:cs="Arial"/>
        </w:rPr>
        <w:t>The Government has made it clear that the SFC will be retained although no detail or expectations have been provided on the SFC’s role and responsibilities.</w:t>
      </w:r>
    </w:p>
    <w:p w14:paraId="30EC9987" w14:textId="77777777" w:rsidR="005B0C9A" w:rsidRPr="00616C59" w:rsidRDefault="005B0C9A" w:rsidP="008021AA">
      <w:pPr>
        <w:tabs>
          <w:tab w:val="left" w:pos="1490"/>
        </w:tabs>
        <w:jc w:val="both"/>
        <w:rPr>
          <w:rFonts w:ascii="Arial" w:hAnsi="Arial" w:cs="Arial"/>
        </w:rPr>
      </w:pPr>
      <w:r w:rsidRPr="00616C59">
        <w:rPr>
          <w:rFonts w:ascii="Arial" w:hAnsi="Arial" w:cs="Arial"/>
        </w:rPr>
        <w:t>Submissions made to the Blake report contain little on the governance proposals except for the CPSU submission that strongly supported an independent Statutory Authority model that takes responsibility for all TFS matters including an employment power. The Tasmanian Volunteer Fire Brigades Association also supported the Statutory Authority model.</w:t>
      </w:r>
    </w:p>
    <w:p w14:paraId="7FCA8E14" w14:textId="442343F6" w:rsidR="005B0C9A" w:rsidRPr="00616C59" w:rsidRDefault="005B0C9A" w:rsidP="008021AA">
      <w:pPr>
        <w:tabs>
          <w:tab w:val="left" w:pos="1490"/>
        </w:tabs>
        <w:jc w:val="both"/>
        <w:rPr>
          <w:rFonts w:ascii="Arial" w:hAnsi="Arial" w:cs="Arial"/>
        </w:rPr>
      </w:pPr>
      <w:r w:rsidRPr="00616C59">
        <w:rPr>
          <w:rFonts w:ascii="Arial" w:hAnsi="Arial" w:cs="Arial"/>
        </w:rPr>
        <w:t>The SF</w:t>
      </w:r>
      <w:r w:rsidR="001043DC">
        <w:rPr>
          <w:rFonts w:ascii="Arial" w:hAnsi="Arial" w:cs="Arial"/>
        </w:rPr>
        <w:t>M</w:t>
      </w:r>
      <w:r w:rsidRPr="00616C59">
        <w:rPr>
          <w:rFonts w:ascii="Arial" w:hAnsi="Arial" w:cs="Arial"/>
        </w:rPr>
        <w:t xml:space="preserve">C submission </w:t>
      </w:r>
      <w:r w:rsidR="007C3937">
        <w:rPr>
          <w:rFonts w:ascii="Arial" w:hAnsi="Arial" w:cs="Arial"/>
        </w:rPr>
        <w:t>is considered in examining potential roles for the SFC.</w:t>
      </w:r>
    </w:p>
    <w:p w14:paraId="18B9A4C2" w14:textId="09DA5E9A" w:rsidR="005B0C9A" w:rsidRPr="00616C59" w:rsidRDefault="005B0C9A" w:rsidP="008021AA">
      <w:pPr>
        <w:tabs>
          <w:tab w:val="left" w:pos="1490"/>
        </w:tabs>
        <w:jc w:val="both"/>
        <w:rPr>
          <w:rFonts w:ascii="Arial" w:hAnsi="Arial" w:cs="Arial"/>
        </w:rPr>
      </w:pPr>
      <w:r w:rsidRPr="00616C59">
        <w:rPr>
          <w:rFonts w:ascii="Arial" w:hAnsi="Arial" w:cs="Arial"/>
        </w:rPr>
        <w:t>It is useful to consider Fire Service governance models in other States and Territories</w:t>
      </w:r>
      <w:r w:rsidR="00AC1198">
        <w:rPr>
          <w:rFonts w:ascii="Arial" w:hAnsi="Arial" w:cs="Arial"/>
        </w:rPr>
        <w:t>:</w:t>
      </w:r>
    </w:p>
    <w:p w14:paraId="24F253F6" w14:textId="77777777" w:rsidR="005B0C9A" w:rsidRPr="00616C59" w:rsidRDefault="005B0C9A" w:rsidP="008021AA">
      <w:pPr>
        <w:pStyle w:val="ListParagraph"/>
        <w:keepLines/>
        <w:numPr>
          <w:ilvl w:val="0"/>
          <w:numId w:val="5"/>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ACT – A single Agency (Emergency Services Agency) which consists of Fire and Rescue, Ambulance, Rural Fire and SES.  The Agency is contained within a division of the Department of Justice and Community Safety Directorate.</w:t>
      </w:r>
    </w:p>
    <w:p w14:paraId="7F8BC1A8" w14:textId="77777777" w:rsidR="005B0C9A" w:rsidRPr="00616C59" w:rsidRDefault="005B0C9A" w:rsidP="008021AA">
      <w:pPr>
        <w:pStyle w:val="ListParagraph"/>
        <w:tabs>
          <w:tab w:val="left" w:pos="1490"/>
        </w:tabs>
        <w:jc w:val="both"/>
        <w:rPr>
          <w:rFonts w:ascii="Arial" w:hAnsi="Arial" w:cs="Arial"/>
        </w:rPr>
      </w:pPr>
    </w:p>
    <w:p w14:paraId="2F913A33" w14:textId="051CC8D5" w:rsidR="005B0C9A" w:rsidRDefault="005B0C9A" w:rsidP="008021AA">
      <w:pPr>
        <w:pStyle w:val="ListParagraph"/>
        <w:keepLines/>
        <w:numPr>
          <w:ilvl w:val="0"/>
          <w:numId w:val="5"/>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 xml:space="preserve">NT – A single Agency </w:t>
      </w:r>
      <w:r w:rsidR="00AC1198">
        <w:rPr>
          <w:rFonts w:ascii="Arial" w:hAnsi="Arial" w:cs="Arial"/>
        </w:rPr>
        <w:t>-</w:t>
      </w:r>
      <w:r w:rsidRPr="00616C59">
        <w:rPr>
          <w:rFonts w:ascii="Arial" w:hAnsi="Arial" w:cs="Arial"/>
        </w:rPr>
        <w:t xml:space="preserve"> Police, Fire, Rescue and Emergency Services.</w:t>
      </w:r>
    </w:p>
    <w:p w14:paraId="13BC40E2" w14:textId="77777777" w:rsidR="00346F95" w:rsidRPr="00346F95" w:rsidRDefault="00346F95" w:rsidP="00346F95">
      <w:pPr>
        <w:pStyle w:val="ListParagraph"/>
        <w:rPr>
          <w:rFonts w:ascii="Arial" w:hAnsi="Arial" w:cs="Arial"/>
        </w:rPr>
      </w:pPr>
    </w:p>
    <w:p w14:paraId="3C513DCA" w14:textId="77777777" w:rsidR="00346F95" w:rsidRPr="00346F95" w:rsidRDefault="00346F95" w:rsidP="00346F95">
      <w:pPr>
        <w:keepLines/>
        <w:tabs>
          <w:tab w:val="left" w:pos="1490"/>
        </w:tabs>
        <w:spacing w:before="100" w:beforeAutospacing="1" w:after="100" w:afterAutospacing="1"/>
        <w:jc w:val="both"/>
        <w:rPr>
          <w:rFonts w:ascii="Arial" w:hAnsi="Arial" w:cs="Arial"/>
        </w:rPr>
      </w:pPr>
    </w:p>
    <w:p w14:paraId="71728D37" w14:textId="77777777" w:rsidR="005B0C9A" w:rsidRPr="00616C59" w:rsidRDefault="005B0C9A" w:rsidP="00056799">
      <w:pPr>
        <w:pStyle w:val="ListParagraph"/>
        <w:jc w:val="both"/>
        <w:rPr>
          <w:rFonts w:ascii="Arial" w:hAnsi="Arial" w:cs="Arial"/>
        </w:rPr>
      </w:pPr>
    </w:p>
    <w:p w14:paraId="71F1ED45" w14:textId="77777777" w:rsidR="005B0C9A" w:rsidRPr="00616C59" w:rsidRDefault="005B0C9A" w:rsidP="008021AA">
      <w:pPr>
        <w:pStyle w:val="ListParagraph"/>
        <w:keepLines/>
        <w:numPr>
          <w:ilvl w:val="0"/>
          <w:numId w:val="5"/>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lastRenderedPageBreak/>
        <w:t>SA – Three Agencies comprise the SA Fire and Emergency Commission. SA Metropolitan Fire Service, SA SES and SA Country Fire Service. There is the same Minister for all Agencies, and all of the Agencies use SAFECOM to provide corporate services, policy direction, business support, HR, IT, Volunteers and OHS.</w:t>
      </w:r>
    </w:p>
    <w:p w14:paraId="692854EB" w14:textId="77777777" w:rsidR="005B0C9A" w:rsidRPr="00616C59" w:rsidRDefault="005B0C9A" w:rsidP="008021AA">
      <w:pPr>
        <w:pStyle w:val="ListParagraph"/>
        <w:tabs>
          <w:tab w:val="left" w:pos="1490"/>
        </w:tabs>
        <w:jc w:val="both"/>
        <w:rPr>
          <w:rFonts w:ascii="Arial" w:hAnsi="Arial" w:cs="Arial"/>
        </w:rPr>
      </w:pPr>
    </w:p>
    <w:p w14:paraId="4B4EA817" w14:textId="7F25A7E5" w:rsidR="005B0C9A" w:rsidRPr="00616C59" w:rsidRDefault="005B0C9A" w:rsidP="008021AA">
      <w:pPr>
        <w:pStyle w:val="ListParagraph"/>
        <w:keepLines/>
        <w:numPr>
          <w:ilvl w:val="0"/>
          <w:numId w:val="5"/>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 xml:space="preserve">WA – </w:t>
      </w:r>
      <w:r w:rsidR="00AC1198">
        <w:rPr>
          <w:rFonts w:ascii="Arial" w:hAnsi="Arial" w:cs="Arial"/>
        </w:rPr>
        <w:t>A s</w:t>
      </w:r>
      <w:r w:rsidRPr="00616C59">
        <w:rPr>
          <w:rFonts w:ascii="Arial" w:hAnsi="Arial" w:cs="Arial"/>
        </w:rPr>
        <w:t>ingle Agency</w:t>
      </w:r>
      <w:r w:rsidR="00AC1198">
        <w:rPr>
          <w:rFonts w:ascii="Arial" w:hAnsi="Arial" w:cs="Arial"/>
        </w:rPr>
        <w:t xml:space="preserve"> -</w:t>
      </w:r>
      <w:r w:rsidRPr="00616C59">
        <w:rPr>
          <w:rFonts w:ascii="Arial" w:hAnsi="Arial" w:cs="Arial"/>
        </w:rPr>
        <w:t xml:space="preserve"> Department of Fire and Emergency Services.</w:t>
      </w:r>
    </w:p>
    <w:p w14:paraId="239369B3" w14:textId="77777777" w:rsidR="005B0C9A" w:rsidRPr="00616C59" w:rsidRDefault="005B0C9A" w:rsidP="00056799">
      <w:pPr>
        <w:pStyle w:val="ListParagraph"/>
        <w:jc w:val="both"/>
        <w:rPr>
          <w:rFonts w:ascii="Arial" w:hAnsi="Arial" w:cs="Arial"/>
        </w:rPr>
      </w:pPr>
    </w:p>
    <w:p w14:paraId="75E948C0" w14:textId="62A709CE" w:rsidR="005B0C9A" w:rsidRPr="00616C59" w:rsidRDefault="005B0C9A" w:rsidP="008021AA">
      <w:pPr>
        <w:pStyle w:val="ListParagraph"/>
        <w:keepLines/>
        <w:numPr>
          <w:ilvl w:val="0"/>
          <w:numId w:val="5"/>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 xml:space="preserve">Qld – </w:t>
      </w:r>
      <w:r w:rsidR="00AC1198">
        <w:rPr>
          <w:rFonts w:ascii="Arial" w:hAnsi="Arial" w:cs="Arial"/>
        </w:rPr>
        <w:t>A s</w:t>
      </w:r>
      <w:r w:rsidRPr="00616C59">
        <w:rPr>
          <w:rFonts w:ascii="Arial" w:hAnsi="Arial" w:cs="Arial"/>
        </w:rPr>
        <w:t xml:space="preserve">ingle Agency </w:t>
      </w:r>
      <w:r w:rsidR="00AC1198">
        <w:rPr>
          <w:rFonts w:ascii="Arial" w:hAnsi="Arial" w:cs="Arial"/>
        </w:rPr>
        <w:t xml:space="preserve">- </w:t>
      </w:r>
      <w:r w:rsidRPr="00616C59">
        <w:rPr>
          <w:rFonts w:ascii="Arial" w:hAnsi="Arial" w:cs="Arial"/>
        </w:rPr>
        <w:t>Department of Fire and Emergency Services which is delivered through three divisions. Fire and Rescue Services, Rural Fire Service and SES.  Corporate Services and support are provided to the Department by the Public Safety Business Agency which had its own Board. In 2020 the Qld Government announced it would disband this Agency and transfer all functions and staff to the Departments it serves. This was planned to be finalised by July 2021.</w:t>
      </w:r>
    </w:p>
    <w:p w14:paraId="1198DAC6" w14:textId="77777777" w:rsidR="005B0C9A" w:rsidRPr="00616C59" w:rsidRDefault="005B0C9A" w:rsidP="008021AA">
      <w:pPr>
        <w:pStyle w:val="ListParagraph"/>
        <w:tabs>
          <w:tab w:val="left" w:pos="1490"/>
        </w:tabs>
        <w:jc w:val="both"/>
        <w:rPr>
          <w:rFonts w:ascii="Arial" w:hAnsi="Arial" w:cs="Arial"/>
        </w:rPr>
      </w:pPr>
    </w:p>
    <w:p w14:paraId="300D9C7F" w14:textId="3D30095D" w:rsidR="005B0C9A" w:rsidRPr="00616C59" w:rsidRDefault="005B0C9A" w:rsidP="008021AA">
      <w:pPr>
        <w:pStyle w:val="ListParagraph"/>
        <w:keepLines/>
        <w:numPr>
          <w:ilvl w:val="0"/>
          <w:numId w:val="5"/>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Victoria – Two agencies</w:t>
      </w:r>
      <w:r w:rsidR="00AC1198">
        <w:rPr>
          <w:rFonts w:ascii="Arial" w:hAnsi="Arial" w:cs="Arial"/>
        </w:rPr>
        <w:t xml:space="preserve"> -</w:t>
      </w:r>
      <w:r w:rsidRPr="00616C59">
        <w:rPr>
          <w:rFonts w:ascii="Arial" w:hAnsi="Arial" w:cs="Arial"/>
        </w:rPr>
        <w:t xml:space="preserve"> Fire Rescue Victoria which covers Metropolitan Brigades and Country Fire Victoria which is responsible for all volunteer brigades. Fire Rescue Victoria is a state government agency and Country Fire Victoria is responsible to its Board, but all uniformed personnel are seconded from Fire Rescue Victoria.</w:t>
      </w:r>
    </w:p>
    <w:p w14:paraId="15398151" w14:textId="77777777" w:rsidR="005B0C9A" w:rsidRPr="00616C59" w:rsidRDefault="005B0C9A" w:rsidP="00056799">
      <w:pPr>
        <w:pStyle w:val="ListParagraph"/>
        <w:jc w:val="both"/>
        <w:rPr>
          <w:rFonts w:ascii="Arial" w:hAnsi="Arial" w:cs="Arial"/>
        </w:rPr>
      </w:pPr>
    </w:p>
    <w:p w14:paraId="00E0B0A5" w14:textId="76E41357" w:rsidR="005B0C9A" w:rsidRPr="00616C59" w:rsidRDefault="005B0C9A" w:rsidP="008021AA">
      <w:pPr>
        <w:pStyle w:val="ListParagraph"/>
        <w:keepLines/>
        <w:numPr>
          <w:ilvl w:val="0"/>
          <w:numId w:val="5"/>
        </w:numPr>
        <w:tabs>
          <w:tab w:val="clear" w:pos="567"/>
          <w:tab w:val="clear" w:pos="1134"/>
          <w:tab w:val="clear" w:pos="1701"/>
          <w:tab w:val="left" w:pos="1490"/>
        </w:tabs>
        <w:spacing w:before="100" w:beforeAutospacing="1" w:after="100" w:afterAutospacing="1" w:line="240" w:lineRule="auto"/>
        <w:jc w:val="both"/>
        <w:rPr>
          <w:rFonts w:ascii="Arial" w:hAnsi="Arial" w:cs="Arial"/>
        </w:rPr>
      </w:pPr>
      <w:r w:rsidRPr="00616C59">
        <w:rPr>
          <w:rFonts w:ascii="Arial" w:hAnsi="Arial" w:cs="Arial"/>
        </w:rPr>
        <w:t>NSW – Two agencies</w:t>
      </w:r>
      <w:r w:rsidR="00AC1198">
        <w:rPr>
          <w:rFonts w:ascii="Arial" w:hAnsi="Arial" w:cs="Arial"/>
        </w:rPr>
        <w:t xml:space="preserve"> - </w:t>
      </w:r>
      <w:r w:rsidRPr="00616C59">
        <w:rPr>
          <w:rFonts w:ascii="Arial" w:hAnsi="Arial" w:cs="Arial"/>
        </w:rPr>
        <w:t>Fire and Rescue NSW and NSW Rural Fire Service. Fire and Rescue NSW is a Government Agency.  NSW Rural Fire Service is a Government Agency, and all its paid employees are employed by the State.</w:t>
      </w:r>
    </w:p>
    <w:p w14:paraId="46E55F37" w14:textId="0D7C2406" w:rsidR="005B0C9A" w:rsidRPr="00616C59" w:rsidRDefault="005B0C9A" w:rsidP="008021AA">
      <w:pPr>
        <w:tabs>
          <w:tab w:val="left" w:pos="1490"/>
        </w:tabs>
        <w:jc w:val="both"/>
        <w:rPr>
          <w:rFonts w:ascii="Arial" w:hAnsi="Arial" w:cs="Arial"/>
        </w:rPr>
      </w:pPr>
      <w:r w:rsidRPr="00616C59">
        <w:rPr>
          <w:rFonts w:ascii="Arial" w:hAnsi="Arial" w:cs="Arial"/>
        </w:rPr>
        <w:t>Only Country Fire Victoria and SA have Boards with employment powers although the positions are limited to administrative and corporate support</w:t>
      </w:r>
      <w:r w:rsidR="00AC1198">
        <w:rPr>
          <w:rFonts w:ascii="Arial" w:hAnsi="Arial" w:cs="Arial"/>
        </w:rPr>
        <w:t>.</w:t>
      </w:r>
    </w:p>
    <w:p w14:paraId="6882A070" w14:textId="77777777" w:rsidR="005B0C9A" w:rsidRPr="00616C59" w:rsidRDefault="005B0C9A" w:rsidP="008021AA">
      <w:pPr>
        <w:tabs>
          <w:tab w:val="left" w:pos="1490"/>
        </w:tabs>
        <w:jc w:val="both"/>
        <w:rPr>
          <w:rFonts w:ascii="Arial" w:hAnsi="Arial" w:cs="Arial"/>
        </w:rPr>
      </w:pPr>
      <w:r w:rsidRPr="00616C59">
        <w:rPr>
          <w:rFonts w:ascii="Arial" w:hAnsi="Arial" w:cs="Arial"/>
        </w:rPr>
        <w:t xml:space="preserve">There are a variety of governance structures across the country with ACT, NT and WA all having single agencies.  </w:t>
      </w:r>
    </w:p>
    <w:p w14:paraId="7651DDB9" w14:textId="31B9215F" w:rsidR="005B0C9A" w:rsidRPr="00616C59" w:rsidRDefault="005B0C9A" w:rsidP="008021AA">
      <w:pPr>
        <w:tabs>
          <w:tab w:val="left" w:pos="1490"/>
        </w:tabs>
        <w:jc w:val="both"/>
        <w:rPr>
          <w:rFonts w:ascii="Arial" w:hAnsi="Arial" w:cs="Arial"/>
        </w:rPr>
      </w:pPr>
      <w:r w:rsidRPr="00616C59">
        <w:rPr>
          <w:rFonts w:ascii="Arial" w:hAnsi="Arial" w:cs="Arial"/>
        </w:rPr>
        <w:t>The Blake report discusses alternative governance structures including a standalone departmental model and an amended statutory authority model.  The Blake report uses three principles for assessing governance models</w:t>
      </w:r>
      <w:r w:rsidR="00AC1198">
        <w:rPr>
          <w:rFonts w:ascii="Arial" w:hAnsi="Arial" w:cs="Arial"/>
        </w:rPr>
        <w:t>:</w:t>
      </w:r>
      <w:r w:rsidRPr="00616C59">
        <w:rPr>
          <w:rFonts w:ascii="Arial" w:hAnsi="Arial" w:cs="Arial"/>
        </w:rPr>
        <w:t xml:space="preserve">  </w:t>
      </w:r>
      <w:r w:rsidR="00AC1198">
        <w:rPr>
          <w:rFonts w:ascii="Arial" w:hAnsi="Arial" w:cs="Arial"/>
        </w:rPr>
        <w:t>c</w:t>
      </w:r>
      <w:r w:rsidRPr="00616C59">
        <w:rPr>
          <w:rFonts w:ascii="Arial" w:hAnsi="Arial" w:cs="Arial"/>
        </w:rPr>
        <w:t>larity regarding TFES functions</w:t>
      </w:r>
      <w:r w:rsidR="00AC1198">
        <w:rPr>
          <w:rFonts w:ascii="Arial" w:hAnsi="Arial" w:cs="Arial"/>
        </w:rPr>
        <w:t>;</w:t>
      </w:r>
      <w:r w:rsidRPr="00616C59">
        <w:rPr>
          <w:rFonts w:ascii="Arial" w:hAnsi="Arial" w:cs="Arial"/>
        </w:rPr>
        <w:t xml:space="preserve"> simplicity with clear communication lines allowing a flexible and efficient coordination of business as usual and a unified command structure in times of emergency</w:t>
      </w:r>
      <w:r w:rsidR="00AC1198">
        <w:rPr>
          <w:rFonts w:ascii="Arial" w:hAnsi="Arial" w:cs="Arial"/>
        </w:rPr>
        <w:t>;</w:t>
      </w:r>
      <w:r w:rsidRPr="00616C59">
        <w:rPr>
          <w:rFonts w:ascii="Arial" w:hAnsi="Arial" w:cs="Arial"/>
        </w:rPr>
        <w:t xml:space="preserve"> and a unified command structure that is coordinated and effective and accountable.</w:t>
      </w:r>
    </w:p>
    <w:p w14:paraId="3DB3F7C5" w14:textId="77777777" w:rsidR="005B0C9A" w:rsidRPr="00616C59" w:rsidRDefault="005B0C9A" w:rsidP="008021AA">
      <w:pPr>
        <w:tabs>
          <w:tab w:val="left" w:pos="1490"/>
        </w:tabs>
        <w:jc w:val="both"/>
        <w:rPr>
          <w:rFonts w:ascii="Arial" w:hAnsi="Arial" w:cs="Arial"/>
        </w:rPr>
      </w:pPr>
      <w:r w:rsidRPr="00616C59">
        <w:rPr>
          <w:rFonts w:ascii="Arial" w:hAnsi="Arial" w:cs="Arial"/>
        </w:rPr>
        <w:t>Using these principles as well as known costs and funding sources the Blake review recommends the fully integrated departmental model within DPFEM.</w:t>
      </w:r>
    </w:p>
    <w:p w14:paraId="3C351A42" w14:textId="6F5A4D7E" w:rsidR="005B0C9A" w:rsidRDefault="005B0C9A" w:rsidP="008021AA">
      <w:pPr>
        <w:tabs>
          <w:tab w:val="left" w:pos="1490"/>
        </w:tabs>
        <w:jc w:val="both"/>
        <w:rPr>
          <w:rFonts w:ascii="Arial" w:hAnsi="Arial" w:cs="Arial"/>
        </w:rPr>
      </w:pPr>
      <w:r w:rsidRPr="00616C59">
        <w:rPr>
          <w:rFonts w:ascii="Arial" w:hAnsi="Arial" w:cs="Arial"/>
        </w:rPr>
        <w:t xml:space="preserve">It is not contested that Government has the right and accountability to determine its departmental structure to best deliver public services in an effective and efficient manner.  It does make sense that the way it does this is the responsibility of the Government. Clearly any governance structure only works when the relationships and working arrangements are agreed by key personnel. </w:t>
      </w:r>
    </w:p>
    <w:p w14:paraId="765BE084" w14:textId="3DC130FF" w:rsidR="00346F95" w:rsidRDefault="00346F95" w:rsidP="008021AA">
      <w:pPr>
        <w:tabs>
          <w:tab w:val="left" w:pos="1490"/>
        </w:tabs>
        <w:jc w:val="both"/>
        <w:rPr>
          <w:rFonts w:ascii="Arial" w:hAnsi="Arial" w:cs="Arial"/>
        </w:rPr>
      </w:pPr>
    </w:p>
    <w:p w14:paraId="37818905" w14:textId="7F724B3F" w:rsidR="00346F95" w:rsidRDefault="00346F95" w:rsidP="008021AA">
      <w:pPr>
        <w:tabs>
          <w:tab w:val="left" w:pos="1490"/>
        </w:tabs>
        <w:jc w:val="both"/>
        <w:rPr>
          <w:rFonts w:ascii="Arial" w:hAnsi="Arial" w:cs="Arial"/>
        </w:rPr>
      </w:pPr>
    </w:p>
    <w:p w14:paraId="3BA2103C" w14:textId="77777777" w:rsidR="00346F95" w:rsidRPr="00616C59" w:rsidRDefault="00346F95" w:rsidP="008021AA">
      <w:pPr>
        <w:tabs>
          <w:tab w:val="left" w:pos="1490"/>
        </w:tabs>
        <w:jc w:val="both"/>
        <w:rPr>
          <w:rFonts w:ascii="Arial" w:hAnsi="Arial" w:cs="Arial"/>
        </w:rPr>
      </w:pPr>
    </w:p>
    <w:p w14:paraId="45B1B4E2" w14:textId="77777777" w:rsidR="00020F88" w:rsidRPr="00346F95" w:rsidRDefault="005B0C9A" w:rsidP="00346F95">
      <w:pPr>
        <w:tabs>
          <w:tab w:val="left" w:pos="1490"/>
        </w:tabs>
        <w:jc w:val="both"/>
        <w:rPr>
          <w:rFonts w:ascii="Arial" w:hAnsi="Arial" w:cs="Arial"/>
        </w:rPr>
      </w:pPr>
      <w:r w:rsidRPr="001043DC">
        <w:rPr>
          <w:rFonts w:ascii="Arial" w:hAnsi="Arial" w:cs="Arial"/>
        </w:rPr>
        <w:lastRenderedPageBreak/>
        <w:t>It is suggested by the author of this paper that a facilitated workshop be run involving the key players</w:t>
      </w:r>
      <w:r w:rsidR="00AC1198" w:rsidRPr="001043DC">
        <w:rPr>
          <w:rFonts w:ascii="Arial" w:hAnsi="Arial" w:cs="Arial"/>
        </w:rPr>
        <w:t>,</w:t>
      </w:r>
      <w:r w:rsidRPr="001043DC">
        <w:rPr>
          <w:rFonts w:ascii="Arial" w:hAnsi="Arial" w:cs="Arial"/>
        </w:rPr>
        <w:t xml:space="preserve"> being the Secretary of DPFEM and the Chief Fire Officer and whatever staff they would wish to bring. It would be useful to have representation from the Ministers office.  The objective would be to have an agreed governance structure with clear lines of accountability and responsibilities within a departmental model.</w:t>
      </w:r>
      <w:r w:rsidR="00826D39" w:rsidRPr="00346F95">
        <w:rPr>
          <w:rFonts w:ascii="Arial" w:hAnsi="Arial" w:cs="Arial"/>
        </w:rPr>
        <w:t xml:space="preserve">    </w:t>
      </w:r>
    </w:p>
    <w:p w14:paraId="79D2DE6D" w14:textId="4BCCE2C0" w:rsidR="00826D39" w:rsidRPr="007B5582" w:rsidRDefault="007C3937" w:rsidP="00826D39">
      <w:pPr>
        <w:tabs>
          <w:tab w:val="left" w:pos="1490"/>
        </w:tabs>
        <w:jc w:val="both"/>
        <w:rPr>
          <w:rFonts w:ascii="Arial" w:hAnsi="Arial" w:cs="Arial"/>
        </w:rPr>
      </w:pPr>
      <w:r>
        <w:rPr>
          <w:rFonts w:ascii="Arial" w:hAnsi="Arial" w:cs="Arial"/>
        </w:rPr>
        <w:t>In considering the future role of the SFC it is noted that t</w:t>
      </w:r>
      <w:r w:rsidR="00826D39" w:rsidRPr="007B5582">
        <w:rPr>
          <w:rFonts w:ascii="Arial" w:hAnsi="Arial" w:cs="Arial"/>
        </w:rPr>
        <w:t>he Blake report recommendation 8 includes abolishing the SFC and broadening the role of the SF</w:t>
      </w:r>
      <w:r w:rsidR="00020F88">
        <w:rPr>
          <w:rFonts w:ascii="Arial" w:hAnsi="Arial" w:cs="Arial"/>
        </w:rPr>
        <w:t>M</w:t>
      </w:r>
      <w:r w:rsidR="00826D39" w:rsidRPr="007B5582">
        <w:rPr>
          <w:rFonts w:ascii="Arial" w:hAnsi="Arial" w:cs="Arial"/>
        </w:rPr>
        <w:t>C as well as revisiting the membership</w:t>
      </w:r>
      <w:r>
        <w:rPr>
          <w:rFonts w:ascii="Arial" w:hAnsi="Arial" w:cs="Arial"/>
        </w:rPr>
        <w:t>,</w:t>
      </w:r>
      <w:r w:rsidR="00826D39" w:rsidRPr="007B5582">
        <w:rPr>
          <w:rFonts w:ascii="Arial" w:hAnsi="Arial" w:cs="Arial"/>
        </w:rPr>
        <w:t xml:space="preserve"> including transitioning relevant membership from the SFC.</w:t>
      </w:r>
    </w:p>
    <w:p w14:paraId="29ABE6C0" w14:textId="77777777" w:rsidR="00826D39" w:rsidRPr="007B5582" w:rsidRDefault="00826D39" w:rsidP="00826D39">
      <w:pPr>
        <w:tabs>
          <w:tab w:val="left" w:pos="1490"/>
        </w:tabs>
        <w:jc w:val="both"/>
        <w:rPr>
          <w:rFonts w:ascii="Arial" w:hAnsi="Arial" w:cs="Arial"/>
        </w:rPr>
      </w:pPr>
      <w:r w:rsidRPr="007B5582">
        <w:rPr>
          <w:rFonts w:ascii="Arial" w:hAnsi="Arial" w:cs="Arial"/>
        </w:rPr>
        <w:t>The Government has committed to the continuation of the SFC superseding the abolition of the SFC.</w:t>
      </w:r>
    </w:p>
    <w:p w14:paraId="42C01490" w14:textId="0E23BA0B" w:rsidR="00826D39" w:rsidRPr="007B5582" w:rsidRDefault="00826D39" w:rsidP="00826D39">
      <w:pPr>
        <w:tabs>
          <w:tab w:val="left" w:pos="1490"/>
        </w:tabs>
        <w:jc w:val="both"/>
        <w:rPr>
          <w:rFonts w:ascii="Arial" w:hAnsi="Arial" w:cs="Arial"/>
        </w:rPr>
      </w:pPr>
      <w:r w:rsidRPr="007B5582">
        <w:rPr>
          <w:rFonts w:ascii="Arial" w:hAnsi="Arial" w:cs="Arial"/>
        </w:rPr>
        <w:t>This raises the issue of the ongoing role of the SFC.  Currently the SFC is a representative based structure.  The Blake report in its text on the SFC and SF</w:t>
      </w:r>
      <w:r w:rsidR="00644677">
        <w:rPr>
          <w:rFonts w:ascii="Arial" w:hAnsi="Arial" w:cs="Arial"/>
        </w:rPr>
        <w:t>M</w:t>
      </w:r>
      <w:r w:rsidRPr="007B5582">
        <w:rPr>
          <w:rFonts w:ascii="Arial" w:hAnsi="Arial" w:cs="Arial"/>
        </w:rPr>
        <w:t>C states that the structure should change to a skill-based model.  This is consistent with modern governance structures across all Boards that advise government or departments.</w:t>
      </w:r>
    </w:p>
    <w:p w14:paraId="5DE1B6B8" w14:textId="77777777" w:rsidR="00826D39" w:rsidRPr="007B5582" w:rsidRDefault="00826D39" w:rsidP="00826D39">
      <w:pPr>
        <w:tabs>
          <w:tab w:val="left" w:pos="1490"/>
        </w:tabs>
        <w:jc w:val="both"/>
        <w:rPr>
          <w:rFonts w:ascii="Arial" w:hAnsi="Arial" w:cs="Arial"/>
        </w:rPr>
      </w:pPr>
      <w:r w:rsidRPr="007B5582">
        <w:rPr>
          <w:rFonts w:ascii="Arial" w:hAnsi="Arial" w:cs="Arial"/>
        </w:rPr>
        <w:t>This change should be enacted as part of the transition of the SFC.</w:t>
      </w:r>
    </w:p>
    <w:p w14:paraId="372BABF4" w14:textId="77777777" w:rsidR="00826D39" w:rsidRPr="007B5582" w:rsidRDefault="00826D39" w:rsidP="00826D39">
      <w:pPr>
        <w:tabs>
          <w:tab w:val="left" w:pos="1490"/>
        </w:tabs>
        <w:jc w:val="both"/>
        <w:rPr>
          <w:rFonts w:ascii="Arial" w:hAnsi="Arial" w:cs="Arial"/>
        </w:rPr>
      </w:pPr>
      <w:r w:rsidRPr="007B5582">
        <w:rPr>
          <w:rFonts w:ascii="Arial" w:hAnsi="Arial" w:cs="Arial"/>
        </w:rPr>
        <w:t>The current functions of the SFC and SFMC are in Appendix 2.</w:t>
      </w:r>
    </w:p>
    <w:p w14:paraId="217073D4" w14:textId="0BA4E6C1" w:rsidR="00826D39" w:rsidRPr="007B5582" w:rsidRDefault="00826D39" w:rsidP="00826D39">
      <w:pPr>
        <w:tabs>
          <w:tab w:val="left" w:pos="1490"/>
        </w:tabs>
        <w:jc w:val="both"/>
        <w:rPr>
          <w:rFonts w:ascii="Arial" w:hAnsi="Arial" w:cs="Arial"/>
        </w:rPr>
      </w:pPr>
      <w:r w:rsidRPr="007B5582">
        <w:rPr>
          <w:rFonts w:ascii="Arial" w:hAnsi="Arial" w:cs="Arial"/>
        </w:rPr>
        <w:t>In relation to the SF</w:t>
      </w:r>
      <w:r w:rsidR="00644677">
        <w:rPr>
          <w:rFonts w:ascii="Arial" w:hAnsi="Arial" w:cs="Arial"/>
        </w:rPr>
        <w:t>M</w:t>
      </w:r>
      <w:r w:rsidRPr="007B5582">
        <w:rPr>
          <w:rFonts w:ascii="Arial" w:hAnsi="Arial" w:cs="Arial"/>
        </w:rPr>
        <w:t>C it is clear that it undertakes a vital role in providing advice to the Minister about the management of vegetation fire across Tasmania especially in the areas of prevention and mitigation of fires. It is responsible for the development of the State Vegetation Wildfire Management Policy that is used as the basis for all fire management planning.</w:t>
      </w:r>
    </w:p>
    <w:p w14:paraId="72184ABA" w14:textId="77777777" w:rsidR="00826D39" w:rsidRPr="007B5582" w:rsidRDefault="00826D39" w:rsidP="00826D39">
      <w:pPr>
        <w:tabs>
          <w:tab w:val="left" w:pos="1490"/>
        </w:tabs>
        <w:jc w:val="both"/>
        <w:rPr>
          <w:rFonts w:ascii="Arial" w:hAnsi="Arial" w:cs="Arial"/>
        </w:rPr>
      </w:pPr>
      <w:r w:rsidRPr="007B5582">
        <w:rPr>
          <w:rFonts w:ascii="Arial" w:hAnsi="Arial" w:cs="Arial"/>
        </w:rPr>
        <w:t>Its other strength is that it has well developed links with the community and other agencies that are involved in land management and is able to coordinate approaches, strategies, advocacy, research and community development.</w:t>
      </w:r>
    </w:p>
    <w:p w14:paraId="28F7C30C" w14:textId="77777777" w:rsidR="00826D39" w:rsidRPr="007B5582" w:rsidRDefault="00826D39" w:rsidP="00826D39">
      <w:pPr>
        <w:tabs>
          <w:tab w:val="left" w:pos="1490"/>
        </w:tabs>
        <w:jc w:val="both"/>
        <w:rPr>
          <w:rFonts w:ascii="Arial" w:hAnsi="Arial" w:cs="Arial"/>
        </w:rPr>
      </w:pPr>
      <w:r w:rsidRPr="007B5582">
        <w:rPr>
          <w:rFonts w:ascii="Arial" w:hAnsi="Arial" w:cs="Arial"/>
        </w:rPr>
        <w:t>The Blake Report makes it clear that these functions and its role should be continued albeit with a review of its membership.</w:t>
      </w:r>
    </w:p>
    <w:p w14:paraId="44027867" w14:textId="77777777" w:rsidR="00826D39" w:rsidRPr="007B5582" w:rsidRDefault="00826D39" w:rsidP="00826D39">
      <w:pPr>
        <w:tabs>
          <w:tab w:val="left" w:pos="1490"/>
        </w:tabs>
        <w:jc w:val="both"/>
        <w:rPr>
          <w:rFonts w:ascii="Arial" w:hAnsi="Arial" w:cs="Arial"/>
        </w:rPr>
      </w:pPr>
      <w:r w:rsidRPr="007B5582">
        <w:rPr>
          <w:rFonts w:ascii="Arial" w:hAnsi="Arial" w:cs="Arial"/>
        </w:rPr>
        <w:t>It does not seem to be effective or efficient to maintain two statutory bodies so it would make sense to place these roles within a reformed SFC.  Given the number of members of the SFMC it would not be useful to put all current members of the SFMC on the SFC.  The SFC should be given the legislative ability to create subcommittees of which the SFMC would be one and contained in the legislation. This would ensure that the community representation existing in the SFMC is maintained.</w:t>
      </w:r>
    </w:p>
    <w:p w14:paraId="2DD1E77A" w14:textId="594FA030" w:rsidR="00826D39" w:rsidRPr="00020F88" w:rsidRDefault="00826D39" w:rsidP="00826D39">
      <w:pPr>
        <w:tabs>
          <w:tab w:val="left" w:pos="1490"/>
        </w:tabs>
        <w:jc w:val="both"/>
      </w:pPr>
      <w:r w:rsidRPr="007B5582">
        <w:rPr>
          <w:rFonts w:ascii="Arial" w:hAnsi="Arial" w:cs="Arial"/>
        </w:rPr>
        <w:t xml:space="preserve">The Chair of the </w:t>
      </w:r>
      <w:r w:rsidR="007C3937">
        <w:rPr>
          <w:rFonts w:ascii="Arial" w:hAnsi="Arial" w:cs="Arial"/>
        </w:rPr>
        <w:t>SFMC</w:t>
      </w:r>
      <w:r w:rsidRPr="007B5582">
        <w:rPr>
          <w:rFonts w:ascii="Arial" w:hAnsi="Arial" w:cs="Arial"/>
        </w:rPr>
        <w:t xml:space="preserve"> should be a member of the SFC and the current legislated role and functions of the SFMC plus any broadening of its current role expansion would be incorporated into the new SFC role and function.</w:t>
      </w:r>
    </w:p>
    <w:p w14:paraId="68AA07EA" w14:textId="77777777" w:rsidR="00826D39" w:rsidRPr="007B5582" w:rsidRDefault="00826D39" w:rsidP="00826D39">
      <w:pPr>
        <w:tabs>
          <w:tab w:val="left" w:pos="1490"/>
        </w:tabs>
        <w:jc w:val="both"/>
        <w:rPr>
          <w:rFonts w:ascii="Arial" w:hAnsi="Arial" w:cs="Arial"/>
        </w:rPr>
      </w:pPr>
      <w:r w:rsidRPr="007B5582">
        <w:rPr>
          <w:rFonts w:ascii="Arial" w:hAnsi="Arial" w:cs="Arial"/>
        </w:rPr>
        <w:t>The size and membership of the new TFC would be determined by the Minister with the roles and functions to be drafted as part of the new FSA.</w:t>
      </w:r>
    </w:p>
    <w:p w14:paraId="5DFE789E" w14:textId="7BB324FC" w:rsidR="00826D39" w:rsidRDefault="00826D39" w:rsidP="00826D39">
      <w:pPr>
        <w:tabs>
          <w:tab w:val="left" w:pos="1490"/>
        </w:tabs>
        <w:jc w:val="both"/>
        <w:rPr>
          <w:rFonts w:ascii="Arial" w:hAnsi="Arial" w:cs="Arial"/>
        </w:rPr>
      </w:pPr>
      <w:r w:rsidRPr="007B5582">
        <w:rPr>
          <w:rFonts w:ascii="Arial" w:hAnsi="Arial" w:cs="Arial"/>
        </w:rPr>
        <w:t>Recommendation 9 becomes redundant although the development of a charter for the SFC subcommittee (SFMC) to be approved DPFEM and the Minister is supported.</w:t>
      </w:r>
    </w:p>
    <w:p w14:paraId="229EC1DF" w14:textId="3F805843" w:rsidR="00346F95" w:rsidRDefault="00346F95" w:rsidP="00826D39">
      <w:pPr>
        <w:tabs>
          <w:tab w:val="left" w:pos="1490"/>
        </w:tabs>
        <w:jc w:val="both"/>
        <w:rPr>
          <w:rFonts w:ascii="Arial" w:hAnsi="Arial" w:cs="Arial"/>
        </w:rPr>
      </w:pPr>
    </w:p>
    <w:p w14:paraId="39C6CA6C" w14:textId="1A506109" w:rsidR="00346F95" w:rsidRDefault="00346F95" w:rsidP="00826D39">
      <w:pPr>
        <w:tabs>
          <w:tab w:val="left" w:pos="1490"/>
        </w:tabs>
        <w:jc w:val="both"/>
        <w:rPr>
          <w:rFonts w:ascii="Arial" w:hAnsi="Arial" w:cs="Arial"/>
        </w:rPr>
      </w:pPr>
    </w:p>
    <w:p w14:paraId="18A75AE8" w14:textId="77777777" w:rsidR="00346F95" w:rsidRPr="007B5582" w:rsidRDefault="00346F95" w:rsidP="00826D39">
      <w:pPr>
        <w:tabs>
          <w:tab w:val="left" w:pos="1490"/>
        </w:tabs>
        <w:jc w:val="both"/>
        <w:rPr>
          <w:rFonts w:ascii="Arial" w:hAnsi="Arial" w:cs="Arial"/>
        </w:rPr>
      </w:pPr>
    </w:p>
    <w:p w14:paraId="066632B9" w14:textId="77777777" w:rsidR="00826D39" w:rsidRPr="007B5582" w:rsidRDefault="00826D39" w:rsidP="00826D39">
      <w:pPr>
        <w:tabs>
          <w:tab w:val="left" w:pos="1490"/>
        </w:tabs>
        <w:jc w:val="both"/>
        <w:rPr>
          <w:rFonts w:ascii="Arial" w:hAnsi="Arial" w:cs="Arial"/>
        </w:rPr>
      </w:pPr>
      <w:r w:rsidRPr="007B5582">
        <w:rPr>
          <w:rFonts w:ascii="Arial" w:hAnsi="Arial" w:cs="Arial"/>
        </w:rPr>
        <w:lastRenderedPageBreak/>
        <w:t>In summary the recommendations are:</w:t>
      </w:r>
    </w:p>
    <w:p w14:paraId="19B49736" w14:textId="77777777" w:rsidR="00826D39" w:rsidRPr="007B5582" w:rsidRDefault="00826D39" w:rsidP="00826D39">
      <w:pPr>
        <w:pStyle w:val="ListParagraph"/>
        <w:keepLines/>
        <w:numPr>
          <w:ilvl w:val="0"/>
          <w:numId w:val="55"/>
        </w:numPr>
        <w:tabs>
          <w:tab w:val="clear" w:pos="567"/>
          <w:tab w:val="clear" w:pos="1134"/>
          <w:tab w:val="clear" w:pos="1701"/>
          <w:tab w:val="left" w:pos="1490"/>
        </w:tabs>
        <w:spacing w:before="100" w:beforeAutospacing="1" w:after="120" w:line="240" w:lineRule="auto"/>
        <w:contextualSpacing w:val="0"/>
        <w:jc w:val="both"/>
        <w:rPr>
          <w:rFonts w:ascii="Arial" w:hAnsi="Arial" w:cs="Arial"/>
        </w:rPr>
      </w:pPr>
      <w:r w:rsidRPr="007B5582">
        <w:rPr>
          <w:rFonts w:ascii="Arial" w:hAnsi="Arial" w:cs="Arial"/>
        </w:rPr>
        <w:t>The SFC be retained.</w:t>
      </w:r>
    </w:p>
    <w:p w14:paraId="4019A857" w14:textId="77777777" w:rsidR="00826D39" w:rsidRPr="007B5582" w:rsidRDefault="00826D39" w:rsidP="00826D39">
      <w:pPr>
        <w:pStyle w:val="ListParagraph"/>
        <w:keepLines/>
        <w:numPr>
          <w:ilvl w:val="0"/>
          <w:numId w:val="55"/>
        </w:numPr>
        <w:tabs>
          <w:tab w:val="clear" w:pos="567"/>
          <w:tab w:val="clear" w:pos="1134"/>
          <w:tab w:val="clear" w:pos="1701"/>
          <w:tab w:val="left" w:pos="1490"/>
        </w:tabs>
        <w:spacing w:before="100" w:beforeAutospacing="1" w:after="120" w:line="240" w:lineRule="auto"/>
        <w:contextualSpacing w:val="0"/>
        <w:jc w:val="both"/>
        <w:rPr>
          <w:rFonts w:ascii="Arial" w:hAnsi="Arial" w:cs="Arial"/>
        </w:rPr>
      </w:pPr>
      <w:r w:rsidRPr="007B5582">
        <w:rPr>
          <w:rFonts w:ascii="Arial" w:hAnsi="Arial" w:cs="Arial"/>
        </w:rPr>
        <w:t>The size and membership of the new SFC would be determined by the Minister with the roles and functions to be drafted as part of the new FSA.</w:t>
      </w:r>
    </w:p>
    <w:p w14:paraId="335BF483" w14:textId="5EC13B3C" w:rsidR="00826D39" w:rsidRPr="007B5582" w:rsidRDefault="00826D39" w:rsidP="00826D39">
      <w:pPr>
        <w:pStyle w:val="ListParagraph"/>
        <w:keepLines/>
        <w:numPr>
          <w:ilvl w:val="0"/>
          <w:numId w:val="55"/>
        </w:numPr>
        <w:tabs>
          <w:tab w:val="clear" w:pos="567"/>
          <w:tab w:val="clear" w:pos="1134"/>
          <w:tab w:val="clear" w:pos="1701"/>
          <w:tab w:val="left" w:pos="1490"/>
        </w:tabs>
        <w:spacing w:before="100" w:beforeAutospacing="1" w:after="120" w:line="240" w:lineRule="auto"/>
        <w:contextualSpacing w:val="0"/>
        <w:jc w:val="both"/>
        <w:rPr>
          <w:rFonts w:ascii="Arial" w:hAnsi="Arial" w:cs="Arial"/>
        </w:rPr>
      </w:pPr>
      <w:r w:rsidRPr="007B5582">
        <w:rPr>
          <w:rFonts w:ascii="Arial" w:hAnsi="Arial" w:cs="Arial"/>
        </w:rPr>
        <w:t>The Chair of the SF</w:t>
      </w:r>
      <w:r w:rsidR="00020F88">
        <w:rPr>
          <w:rFonts w:ascii="Arial" w:hAnsi="Arial" w:cs="Arial"/>
        </w:rPr>
        <w:t>M</w:t>
      </w:r>
      <w:r w:rsidRPr="007B5582">
        <w:rPr>
          <w:rFonts w:ascii="Arial" w:hAnsi="Arial" w:cs="Arial"/>
        </w:rPr>
        <w:t>C should be a member of the SFC and the current legislated role and functions of the SFMC plus any broadening of its current role expansion would be incorporated into the new SFC role and function.</w:t>
      </w:r>
    </w:p>
    <w:p w14:paraId="69C0166F" w14:textId="77777777" w:rsidR="00826D39" w:rsidRPr="007B5582" w:rsidRDefault="00826D39" w:rsidP="00826D39">
      <w:pPr>
        <w:pStyle w:val="ListParagraph"/>
        <w:keepLines/>
        <w:numPr>
          <w:ilvl w:val="0"/>
          <w:numId w:val="55"/>
        </w:numPr>
        <w:tabs>
          <w:tab w:val="clear" w:pos="567"/>
          <w:tab w:val="clear" w:pos="1134"/>
          <w:tab w:val="clear" w:pos="1701"/>
          <w:tab w:val="left" w:pos="1490"/>
        </w:tabs>
        <w:spacing w:before="100" w:beforeAutospacing="1" w:after="120" w:line="240" w:lineRule="auto"/>
        <w:contextualSpacing w:val="0"/>
        <w:jc w:val="both"/>
        <w:rPr>
          <w:rFonts w:ascii="Arial" w:hAnsi="Arial" w:cs="Arial"/>
        </w:rPr>
      </w:pPr>
      <w:r w:rsidRPr="007B5582">
        <w:rPr>
          <w:rFonts w:ascii="Arial" w:hAnsi="Arial" w:cs="Arial"/>
        </w:rPr>
        <w:t xml:space="preserve">The SFC should be given the legislative ability to create subcommittees of which the SFMC would be one and contained in the legislation. </w:t>
      </w:r>
    </w:p>
    <w:p w14:paraId="0929A028" w14:textId="77777777" w:rsidR="00826D39" w:rsidRPr="007B5582" w:rsidRDefault="00826D39" w:rsidP="00826D39">
      <w:pPr>
        <w:pStyle w:val="ListParagraph"/>
        <w:keepLines/>
        <w:numPr>
          <w:ilvl w:val="0"/>
          <w:numId w:val="55"/>
        </w:numPr>
        <w:tabs>
          <w:tab w:val="clear" w:pos="567"/>
          <w:tab w:val="clear" w:pos="1134"/>
          <w:tab w:val="clear" w:pos="1701"/>
          <w:tab w:val="left" w:pos="1490"/>
        </w:tabs>
        <w:spacing w:before="100" w:beforeAutospacing="1" w:after="120" w:line="240" w:lineRule="auto"/>
        <w:contextualSpacing w:val="0"/>
        <w:jc w:val="both"/>
        <w:rPr>
          <w:rFonts w:ascii="Arial" w:hAnsi="Arial" w:cs="Arial"/>
        </w:rPr>
      </w:pPr>
      <w:r w:rsidRPr="007B5582">
        <w:rPr>
          <w:rFonts w:ascii="Arial" w:hAnsi="Arial" w:cs="Arial"/>
        </w:rPr>
        <w:t>The development of a charter for the SFC subcommittee (SFMC) to be approved by DPFEM and the Minister.</w:t>
      </w:r>
    </w:p>
    <w:p w14:paraId="73288D91" w14:textId="77777777" w:rsidR="005A736D" w:rsidRDefault="005A736D" w:rsidP="005A736D">
      <w:pPr>
        <w:tabs>
          <w:tab w:val="left" w:pos="1490"/>
        </w:tabs>
        <w:ind w:left="360" w:hanging="360"/>
        <w:jc w:val="both"/>
        <w:rPr>
          <w:rFonts w:ascii="Arial" w:hAnsi="Arial" w:cs="Arial"/>
          <w:color w:val="005B9A" w:themeColor="accent1"/>
        </w:rPr>
      </w:pPr>
    </w:p>
    <w:p w14:paraId="2E2B6BEC" w14:textId="2DBF600F" w:rsidR="005A736D" w:rsidRPr="00826D39" w:rsidRDefault="005A736D" w:rsidP="00826D39">
      <w:pPr>
        <w:pBdr>
          <w:bottom w:val="single" w:sz="12" w:space="1" w:color="005B9A" w:themeColor="accent1"/>
        </w:pBdr>
        <w:tabs>
          <w:tab w:val="left" w:pos="1490"/>
        </w:tabs>
        <w:ind w:left="360" w:hanging="360"/>
        <w:jc w:val="both"/>
        <w:rPr>
          <w:rFonts w:ascii="Arial" w:hAnsi="Arial" w:cs="Arial"/>
        </w:rPr>
      </w:pPr>
      <w:r w:rsidRPr="007B5582">
        <w:rPr>
          <w:rFonts w:ascii="Arial" w:hAnsi="Arial" w:cs="Arial"/>
          <w:color w:val="005B9A" w:themeColor="accent1"/>
          <w:sz w:val="28"/>
          <w:szCs w:val="28"/>
        </w:rPr>
        <w:t xml:space="preserve">Financial </w:t>
      </w:r>
      <w:r w:rsidR="00041645" w:rsidRPr="007B5582">
        <w:rPr>
          <w:rFonts w:ascii="Arial" w:hAnsi="Arial" w:cs="Arial"/>
          <w:color w:val="005B9A" w:themeColor="accent1"/>
          <w:sz w:val="28"/>
          <w:szCs w:val="28"/>
        </w:rPr>
        <w:t>M</w:t>
      </w:r>
      <w:r w:rsidRPr="007B5582">
        <w:rPr>
          <w:rFonts w:ascii="Arial" w:hAnsi="Arial" w:cs="Arial"/>
          <w:color w:val="005B9A" w:themeColor="accent1"/>
          <w:sz w:val="28"/>
          <w:szCs w:val="28"/>
        </w:rPr>
        <w:t xml:space="preserve">anagement </w:t>
      </w:r>
      <w:r w:rsidR="001D56F9" w:rsidRPr="007B5582">
        <w:rPr>
          <w:rFonts w:ascii="Arial" w:hAnsi="Arial" w:cs="Arial"/>
          <w:color w:val="005B9A" w:themeColor="accent1"/>
          <w:sz w:val="28"/>
          <w:szCs w:val="28"/>
        </w:rPr>
        <w:t xml:space="preserve">Blake Review </w:t>
      </w:r>
      <w:r w:rsidRPr="007B5582">
        <w:rPr>
          <w:rFonts w:ascii="Arial" w:hAnsi="Arial" w:cs="Arial"/>
          <w:color w:val="005B9A" w:themeColor="accent1"/>
          <w:sz w:val="28"/>
          <w:szCs w:val="28"/>
        </w:rPr>
        <w:t xml:space="preserve">Recommendations 10-25  </w:t>
      </w:r>
    </w:p>
    <w:p w14:paraId="3F2CBB9E" w14:textId="26420976" w:rsidR="005B0C9A" w:rsidRPr="00056799" w:rsidRDefault="005B0C9A" w:rsidP="00056799">
      <w:pPr>
        <w:tabs>
          <w:tab w:val="left" w:pos="1490"/>
        </w:tabs>
        <w:jc w:val="both"/>
        <w:rPr>
          <w:rFonts w:ascii="Arial" w:hAnsi="Arial" w:cs="Arial"/>
        </w:rPr>
      </w:pPr>
      <w:r w:rsidRPr="00056799">
        <w:rPr>
          <w:rFonts w:ascii="Arial" w:hAnsi="Arial" w:cs="Arial"/>
        </w:rPr>
        <w:t xml:space="preserve">The Department of Treasury and Finance released a paper titled </w:t>
      </w:r>
      <w:r w:rsidRPr="00056799">
        <w:rPr>
          <w:rFonts w:ascii="Arial" w:hAnsi="Arial" w:cs="Arial"/>
          <w:i/>
          <w:iCs/>
        </w:rPr>
        <w:t>Options Paper: Fire Service Funding Arrangements.</w:t>
      </w:r>
      <w:r w:rsidRPr="00056799">
        <w:rPr>
          <w:rFonts w:ascii="Arial" w:hAnsi="Arial" w:cs="Arial"/>
        </w:rPr>
        <w:t xml:space="preserve">  The paper was subject to the same consultative arrangements as the Blake report with submissions closing on 2</w:t>
      </w:r>
      <w:r w:rsidR="00D51CA2" w:rsidRPr="00056799">
        <w:rPr>
          <w:rFonts w:ascii="Arial" w:hAnsi="Arial" w:cs="Arial"/>
        </w:rPr>
        <w:t>0</w:t>
      </w:r>
      <w:r w:rsidRPr="00056799">
        <w:rPr>
          <w:rFonts w:ascii="Arial" w:hAnsi="Arial" w:cs="Arial"/>
        </w:rPr>
        <w:t xml:space="preserve"> December 2021.</w:t>
      </w:r>
    </w:p>
    <w:p w14:paraId="5F20AA24" w14:textId="65E14D89" w:rsidR="00A92294" w:rsidRDefault="00A92294" w:rsidP="008021AA">
      <w:pPr>
        <w:tabs>
          <w:tab w:val="left" w:pos="1490"/>
        </w:tabs>
        <w:jc w:val="both"/>
        <w:rPr>
          <w:rFonts w:ascii="Arial" w:hAnsi="Arial" w:cs="Arial"/>
        </w:rPr>
      </w:pPr>
      <w:r w:rsidRPr="00056799">
        <w:rPr>
          <w:rFonts w:ascii="Arial" w:hAnsi="Arial" w:cs="Arial"/>
        </w:rPr>
        <w:t>There was no comment in submissions on R</w:t>
      </w:r>
      <w:r>
        <w:rPr>
          <w:rFonts w:ascii="Arial" w:hAnsi="Arial" w:cs="Arial"/>
        </w:rPr>
        <w:t>ecommendation</w:t>
      </w:r>
      <w:r w:rsidRPr="00056799">
        <w:rPr>
          <w:rFonts w:ascii="Arial" w:hAnsi="Arial" w:cs="Arial"/>
        </w:rPr>
        <w:t xml:space="preserve"> 10. The recommendation resolves the issue whereby although non-brigade costs for volunteer brigades such as administration or training are paid for out of the current levies, they are not included in the actual definition of brigade costs.  This recommendation is non-controversial and reflects current practice and should be supported</w:t>
      </w:r>
    </w:p>
    <w:p w14:paraId="322660CF" w14:textId="5FCD396B" w:rsidR="005B0C9A" w:rsidRPr="00056799" w:rsidRDefault="005B0C9A" w:rsidP="008021AA">
      <w:pPr>
        <w:tabs>
          <w:tab w:val="left" w:pos="1490"/>
        </w:tabs>
        <w:jc w:val="both"/>
        <w:rPr>
          <w:rFonts w:ascii="Arial" w:hAnsi="Arial" w:cs="Arial"/>
        </w:rPr>
      </w:pPr>
      <w:r w:rsidRPr="00056799">
        <w:rPr>
          <w:rFonts w:ascii="Arial" w:hAnsi="Arial" w:cs="Arial"/>
        </w:rPr>
        <w:t xml:space="preserve">Recommendations 11 (SES) and 18 (TFES) are the key recommendations as they introduce the concept of a single property-based levy. </w:t>
      </w:r>
    </w:p>
    <w:p w14:paraId="055CB8D3" w14:textId="77777777" w:rsidR="005B0C9A" w:rsidRPr="00056799" w:rsidRDefault="005B0C9A" w:rsidP="008021AA">
      <w:pPr>
        <w:tabs>
          <w:tab w:val="left" w:pos="1490"/>
        </w:tabs>
        <w:jc w:val="both"/>
        <w:rPr>
          <w:rFonts w:ascii="Arial" w:hAnsi="Arial" w:cs="Arial"/>
        </w:rPr>
      </w:pPr>
      <w:r w:rsidRPr="00056799">
        <w:rPr>
          <w:rFonts w:ascii="Arial" w:hAnsi="Arial" w:cs="Arial"/>
        </w:rPr>
        <w:t>Recommendation 12 recommends the replacement of the Insurance levy with a property-based levy once suitable transition arrangements are identified and implemented.</w:t>
      </w:r>
    </w:p>
    <w:p w14:paraId="512B1F0A" w14:textId="77777777" w:rsidR="005B0C9A" w:rsidRPr="00056799" w:rsidRDefault="005B0C9A" w:rsidP="008021AA">
      <w:pPr>
        <w:tabs>
          <w:tab w:val="left" w:pos="1490"/>
        </w:tabs>
        <w:jc w:val="both"/>
        <w:rPr>
          <w:rFonts w:ascii="Arial" w:hAnsi="Arial" w:cs="Arial"/>
        </w:rPr>
      </w:pPr>
      <w:r w:rsidRPr="00056799">
        <w:rPr>
          <w:rFonts w:ascii="Arial" w:hAnsi="Arial" w:cs="Arial"/>
        </w:rPr>
        <w:t>Recommendation 13 recommends the continuation of the motor vehicle levy and to base any expansion to other types of vehicles on a cost benefit analysis.</w:t>
      </w:r>
    </w:p>
    <w:p w14:paraId="7E5298CC" w14:textId="77777777" w:rsidR="005B0C9A" w:rsidRPr="00056799" w:rsidRDefault="005B0C9A" w:rsidP="008021AA">
      <w:pPr>
        <w:tabs>
          <w:tab w:val="left" w:pos="1490"/>
        </w:tabs>
        <w:jc w:val="both"/>
        <w:rPr>
          <w:rFonts w:ascii="Arial" w:hAnsi="Arial" w:cs="Arial"/>
        </w:rPr>
      </w:pPr>
      <w:r w:rsidRPr="00056799">
        <w:rPr>
          <w:rFonts w:ascii="Arial" w:hAnsi="Arial" w:cs="Arial"/>
        </w:rPr>
        <w:t>Recommendation 23 recommends that the TFES not be funded by appropriation as it disincentivizes property owners from properly insuring their properties or being appropriately prepared.</w:t>
      </w:r>
    </w:p>
    <w:p w14:paraId="41BCC5F7" w14:textId="77777777" w:rsidR="005B0C9A" w:rsidRPr="00056799" w:rsidRDefault="005B0C9A" w:rsidP="008021AA">
      <w:pPr>
        <w:tabs>
          <w:tab w:val="left" w:pos="1490"/>
        </w:tabs>
        <w:jc w:val="both"/>
        <w:rPr>
          <w:rFonts w:ascii="Arial" w:hAnsi="Arial" w:cs="Arial"/>
        </w:rPr>
      </w:pPr>
      <w:r w:rsidRPr="00056799">
        <w:rPr>
          <w:rFonts w:ascii="Arial" w:hAnsi="Arial" w:cs="Arial"/>
        </w:rPr>
        <w:t>Recommendation 24 recommends Treasury be responsible in consultation with TFES determine the amount to be collected from the property-based levy annually.</w:t>
      </w:r>
    </w:p>
    <w:p w14:paraId="02037850" w14:textId="77777777" w:rsidR="005B0C9A" w:rsidRPr="00056799" w:rsidRDefault="005B0C9A" w:rsidP="008021AA">
      <w:pPr>
        <w:tabs>
          <w:tab w:val="left" w:pos="1490"/>
        </w:tabs>
        <w:jc w:val="both"/>
        <w:rPr>
          <w:rFonts w:ascii="Arial" w:hAnsi="Arial" w:cs="Arial"/>
        </w:rPr>
      </w:pPr>
      <w:r w:rsidRPr="00056799">
        <w:rPr>
          <w:rFonts w:ascii="Arial" w:hAnsi="Arial" w:cs="Arial"/>
        </w:rPr>
        <w:t xml:space="preserve">The Treasury option paper assumes that the monies to be raised by the levies is the current figure of $100 million.  The paper outlines options for future levies based on the fact that instead of the three levies currently in operation, an alternative is to introduce one levy being a property-based levy. </w:t>
      </w:r>
    </w:p>
    <w:p w14:paraId="36B3A040" w14:textId="67573871" w:rsidR="00D51CA2" w:rsidRDefault="005B0C9A" w:rsidP="00056799">
      <w:pPr>
        <w:pStyle w:val="Default"/>
        <w:spacing w:after="120"/>
        <w:jc w:val="both"/>
        <w:rPr>
          <w:rFonts w:ascii="Arial" w:hAnsi="Arial" w:cs="Arial"/>
        </w:rPr>
      </w:pPr>
      <w:r w:rsidRPr="00056799">
        <w:rPr>
          <w:rFonts w:ascii="Arial" w:hAnsi="Arial" w:cs="Arial"/>
        </w:rPr>
        <w:t xml:space="preserve">There are a range of alternatives for the calculation of a single levy that is solely property-based. </w:t>
      </w:r>
    </w:p>
    <w:p w14:paraId="181D2FCE" w14:textId="32BFA2C4" w:rsidR="00346F95" w:rsidRDefault="00346F95" w:rsidP="00056799">
      <w:pPr>
        <w:pStyle w:val="Default"/>
        <w:spacing w:after="120"/>
        <w:jc w:val="both"/>
        <w:rPr>
          <w:rFonts w:ascii="Arial" w:hAnsi="Arial" w:cs="Arial"/>
        </w:rPr>
      </w:pPr>
    </w:p>
    <w:p w14:paraId="7CD40421" w14:textId="77777777" w:rsidR="00346F95" w:rsidRPr="00056799" w:rsidRDefault="00346F95" w:rsidP="00056799">
      <w:pPr>
        <w:pStyle w:val="Default"/>
        <w:spacing w:after="120"/>
        <w:jc w:val="both"/>
        <w:rPr>
          <w:rFonts w:ascii="Arial" w:hAnsi="Arial" w:cs="Arial"/>
        </w:rPr>
      </w:pPr>
    </w:p>
    <w:p w14:paraId="35B745D1" w14:textId="2C6A9198" w:rsidR="005B0C9A" w:rsidRPr="00056799" w:rsidRDefault="005B0C9A" w:rsidP="00056799">
      <w:pPr>
        <w:pStyle w:val="Default"/>
        <w:spacing w:after="120"/>
        <w:jc w:val="both"/>
        <w:rPr>
          <w:rFonts w:ascii="Arial" w:hAnsi="Arial" w:cs="Arial"/>
        </w:rPr>
      </w:pPr>
      <w:r w:rsidRPr="00056799">
        <w:rPr>
          <w:rFonts w:ascii="Arial" w:hAnsi="Arial" w:cs="Arial"/>
        </w:rPr>
        <w:lastRenderedPageBreak/>
        <w:t xml:space="preserve">Treasury has developed two single property-based levy options based on a property’s AAV. The options include: </w:t>
      </w:r>
    </w:p>
    <w:p w14:paraId="2FC8F0BF" w14:textId="77777777" w:rsidR="00D51CA2" w:rsidRDefault="005B0C9A" w:rsidP="00056799">
      <w:pPr>
        <w:pStyle w:val="Default"/>
        <w:numPr>
          <w:ilvl w:val="0"/>
          <w:numId w:val="59"/>
        </w:numPr>
        <w:spacing w:after="120"/>
        <w:jc w:val="both"/>
        <w:rPr>
          <w:rFonts w:ascii="Arial" w:hAnsi="Arial" w:cs="Arial"/>
        </w:rPr>
      </w:pPr>
      <w:r w:rsidRPr="00056799">
        <w:rPr>
          <w:rFonts w:ascii="Arial" w:hAnsi="Arial" w:cs="Arial"/>
          <w:i/>
          <w:iCs/>
        </w:rPr>
        <w:t xml:space="preserve">Option 2A: </w:t>
      </w:r>
      <w:r w:rsidRPr="00056799">
        <w:rPr>
          <w:rFonts w:ascii="Arial" w:hAnsi="Arial" w:cs="Arial"/>
        </w:rPr>
        <w:t xml:space="preserve">a single fixed charge and a single variable rate applied to all properties; and </w:t>
      </w:r>
    </w:p>
    <w:p w14:paraId="52FE2829" w14:textId="20106394" w:rsidR="005B0C9A" w:rsidRPr="00056799" w:rsidRDefault="005B0C9A" w:rsidP="00056799">
      <w:pPr>
        <w:pStyle w:val="Default"/>
        <w:numPr>
          <w:ilvl w:val="0"/>
          <w:numId w:val="59"/>
        </w:numPr>
        <w:spacing w:after="120"/>
        <w:jc w:val="both"/>
        <w:rPr>
          <w:rFonts w:ascii="Arial" w:hAnsi="Arial" w:cs="Arial"/>
        </w:rPr>
      </w:pPr>
      <w:r w:rsidRPr="00056799">
        <w:rPr>
          <w:rFonts w:ascii="Arial" w:hAnsi="Arial" w:cs="Arial"/>
          <w:i/>
          <w:iCs/>
        </w:rPr>
        <w:t xml:space="preserve">Option 2B: </w:t>
      </w:r>
      <w:r w:rsidRPr="00056799">
        <w:rPr>
          <w:rFonts w:ascii="Arial" w:hAnsi="Arial" w:cs="Arial"/>
        </w:rPr>
        <w:t xml:space="preserve">a differential fixed charge and a differential variable rate applied on the basis of a property’s classification. </w:t>
      </w:r>
    </w:p>
    <w:p w14:paraId="66E736D4" w14:textId="670EF7A5" w:rsidR="005B0C9A" w:rsidRPr="00056799" w:rsidRDefault="005B0C9A" w:rsidP="00056799">
      <w:pPr>
        <w:pStyle w:val="Default"/>
        <w:numPr>
          <w:ilvl w:val="0"/>
          <w:numId w:val="59"/>
        </w:numPr>
        <w:spacing w:after="120"/>
        <w:jc w:val="both"/>
        <w:rPr>
          <w:rFonts w:ascii="Arial" w:hAnsi="Arial" w:cs="Arial"/>
        </w:rPr>
      </w:pPr>
      <w:r w:rsidRPr="00056799">
        <w:rPr>
          <w:rFonts w:ascii="Arial" w:hAnsi="Arial" w:cs="Arial"/>
        </w:rPr>
        <w:t xml:space="preserve">Option 3 proposes that the existing Motor Vehicle Levy is retained in conjunction with a property-based levy. </w:t>
      </w:r>
    </w:p>
    <w:p w14:paraId="4F2F63D1" w14:textId="6B2E32C1" w:rsidR="005B0C9A" w:rsidRPr="00056799" w:rsidRDefault="005B0C9A" w:rsidP="00056799">
      <w:pPr>
        <w:pStyle w:val="Default"/>
        <w:spacing w:after="120"/>
        <w:jc w:val="both"/>
        <w:rPr>
          <w:rFonts w:ascii="Arial" w:hAnsi="Arial" w:cs="Arial"/>
        </w:rPr>
      </w:pPr>
      <w:r w:rsidRPr="00056799">
        <w:rPr>
          <w:rFonts w:ascii="Arial" w:hAnsi="Arial" w:cs="Arial"/>
        </w:rPr>
        <w:t xml:space="preserve">The approach explored in </w:t>
      </w:r>
      <w:r w:rsidR="00D51CA2">
        <w:rPr>
          <w:rFonts w:ascii="Arial" w:hAnsi="Arial" w:cs="Arial"/>
        </w:rPr>
        <w:t>O</w:t>
      </w:r>
      <w:r w:rsidRPr="00056799">
        <w:rPr>
          <w:rFonts w:ascii="Arial" w:hAnsi="Arial" w:cs="Arial"/>
        </w:rPr>
        <w:t xml:space="preserve">ption 3 is consistent with the options under </w:t>
      </w:r>
      <w:r w:rsidR="00D51CA2">
        <w:rPr>
          <w:rFonts w:ascii="Arial" w:hAnsi="Arial" w:cs="Arial"/>
        </w:rPr>
        <w:t>O</w:t>
      </w:r>
      <w:r w:rsidRPr="00056799">
        <w:rPr>
          <w:rFonts w:ascii="Arial" w:hAnsi="Arial" w:cs="Arial"/>
        </w:rPr>
        <w:t xml:space="preserve">ption 2. However, the variable rates and the fixed charges applied are lower to reflect the lower amount of revenue to be collected through the property-based levy. This is because the property-based levy in </w:t>
      </w:r>
      <w:r w:rsidR="00D51CA2">
        <w:rPr>
          <w:rFonts w:ascii="Arial" w:hAnsi="Arial" w:cs="Arial"/>
        </w:rPr>
        <w:t>O</w:t>
      </w:r>
      <w:r w:rsidRPr="00056799">
        <w:rPr>
          <w:rFonts w:ascii="Arial" w:hAnsi="Arial" w:cs="Arial"/>
        </w:rPr>
        <w:t xml:space="preserve">ption 3 will be supplemented by the motor vehicle levy.  Option 2 relies solely on a property-based levy. </w:t>
      </w:r>
    </w:p>
    <w:p w14:paraId="69286D50" w14:textId="5F1F5888" w:rsidR="005B0C9A" w:rsidRPr="00056799" w:rsidRDefault="005B0C9A" w:rsidP="00056799">
      <w:pPr>
        <w:pStyle w:val="Default"/>
        <w:spacing w:after="120"/>
        <w:jc w:val="both"/>
        <w:rPr>
          <w:rFonts w:ascii="Arial" w:hAnsi="Arial" w:cs="Arial"/>
        </w:rPr>
      </w:pPr>
      <w:r w:rsidRPr="00056799">
        <w:rPr>
          <w:rFonts w:ascii="Arial" w:hAnsi="Arial" w:cs="Arial"/>
        </w:rPr>
        <w:t>The two alternatives are</w:t>
      </w:r>
      <w:r w:rsidR="00B61C40" w:rsidRPr="00056799">
        <w:rPr>
          <w:rFonts w:ascii="Arial" w:hAnsi="Arial" w:cs="Arial"/>
        </w:rPr>
        <w:t>:</w:t>
      </w:r>
    </w:p>
    <w:p w14:paraId="4EF6925E" w14:textId="77777777" w:rsidR="005B0C9A" w:rsidRPr="00056799" w:rsidRDefault="005B0C9A" w:rsidP="00056799">
      <w:pPr>
        <w:pStyle w:val="Default"/>
        <w:numPr>
          <w:ilvl w:val="0"/>
          <w:numId w:val="60"/>
        </w:numPr>
        <w:spacing w:after="120"/>
        <w:jc w:val="both"/>
        <w:rPr>
          <w:rFonts w:ascii="Arial" w:hAnsi="Arial" w:cs="Arial"/>
        </w:rPr>
      </w:pPr>
      <w:r w:rsidRPr="00056799">
        <w:rPr>
          <w:rFonts w:ascii="Arial" w:hAnsi="Arial" w:cs="Arial"/>
          <w:i/>
          <w:iCs/>
        </w:rPr>
        <w:t xml:space="preserve">Option 3A: </w:t>
      </w:r>
      <w:r w:rsidRPr="00056799">
        <w:rPr>
          <w:rFonts w:ascii="Arial" w:hAnsi="Arial" w:cs="Arial"/>
        </w:rPr>
        <w:t xml:space="preserve">a single fixed charge and a single variable rate applied to all properties, plus the existing motor vehicle levy; and </w:t>
      </w:r>
    </w:p>
    <w:p w14:paraId="645A0719" w14:textId="77777777" w:rsidR="005B0C9A" w:rsidRPr="00056799" w:rsidRDefault="005B0C9A" w:rsidP="00056799">
      <w:pPr>
        <w:pStyle w:val="Default"/>
        <w:numPr>
          <w:ilvl w:val="0"/>
          <w:numId w:val="60"/>
        </w:numPr>
        <w:spacing w:after="120"/>
        <w:jc w:val="both"/>
        <w:rPr>
          <w:rFonts w:ascii="Arial" w:hAnsi="Arial" w:cs="Arial"/>
        </w:rPr>
      </w:pPr>
      <w:r w:rsidRPr="00056799">
        <w:rPr>
          <w:rFonts w:ascii="Arial" w:hAnsi="Arial" w:cs="Arial"/>
          <w:i/>
          <w:iCs/>
        </w:rPr>
        <w:t xml:space="preserve">Option 3B: </w:t>
      </w:r>
      <w:r w:rsidRPr="00056799">
        <w:rPr>
          <w:rFonts w:ascii="Arial" w:hAnsi="Arial" w:cs="Arial"/>
        </w:rPr>
        <w:t xml:space="preserve">a differential fixed charge and a differential variable rate applied based on a property’s classification, plus the existing motor vehicle levy. </w:t>
      </w:r>
    </w:p>
    <w:p w14:paraId="3FEE9907" w14:textId="5F6DEA96" w:rsidR="005B0C9A" w:rsidRPr="00056799" w:rsidRDefault="005B0C9A" w:rsidP="00056799">
      <w:pPr>
        <w:pStyle w:val="Default"/>
        <w:spacing w:after="120"/>
        <w:jc w:val="both"/>
        <w:rPr>
          <w:rFonts w:ascii="Arial" w:hAnsi="Arial" w:cs="Arial"/>
        </w:rPr>
      </w:pPr>
      <w:r w:rsidRPr="00056799">
        <w:rPr>
          <w:rFonts w:ascii="Arial" w:hAnsi="Arial" w:cs="Arial"/>
        </w:rPr>
        <w:t xml:space="preserve">The Bushfire Prone Area charge applied under options 2A and 2B would similarly apply to options 3A and 3B, to reflect the inherent risk in properties located in bushfire prone areas. </w:t>
      </w:r>
    </w:p>
    <w:p w14:paraId="3F716AD3" w14:textId="77777777" w:rsidR="005B0C9A" w:rsidRPr="00056799" w:rsidRDefault="005B0C9A" w:rsidP="00056799">
      <w:pPr>
        <w:pStyle w:val="Default"/>
        <w:spacing w:after="120"/>
        <w:jc w:val="both"/>
        <w:rPr>
          <w:rFonts w:ascii="Arial" w:hAnsi="Arial" w:cs="Arial"/>
        </w:rPr>
      </w:pPr>
      <w:r w:rsidRPr="00056799">
        <w:rPr>
          <w:rFonts w:ascii="Arial" w:hAnsi="Arial" w:cs="Arial"/>
        </w:rPr>
        <w:t xml:space="preserve">Under option 3A Treasury estimates the average residential property owner would pay an annual property-based levy of $249. This would increase to $311 for properties subject to a BPA charge. </w:t>
      </w:r>
    </w:p>
    <w:p w14:paraId="335A5CFC" w14:textId="2667D8D5" w:rsidR="005B0C9A" w:rsidRPr="00056799" w:rsidRDefault="005B0C9A" w:rsidP="00056799">
      <w:pPr>
        <w:pStyle w:val="Default"/>
        <w:spacing w:after="120"/>
        <w:jc w:val="both"/>
        <w:rPr>
          <w:rFonts w:ascii="Arial" w:hAnsi="Arial" w:cs="Arial"/>
        </w:rPr>
      </w:pPr>
      <w:r w:rsidRPr="00056799">
        <w:rPr>
          <w:rFonts w:ascii="Arial" w:hAnsi="Arial" w:cs="Arial"/>
        </w:rPr>
        <w:t>The average commercial property owner would pay a property-based levy of $403; or $538 for those subject to a BPA charge.</w:t>
      </w:r>
    </w:p>
    <w:p w14:paraId="29048B29" w14:textId="1E3183D0" w:rsidR="005B0C9A" w:rsidRPr="00056799" w:rsidRDefault="005B0C9A" w:rsidP="00056799">
      <w:pPr>
        <w:pStyle w:val="Default"/>
        <w:spacing w:after="120"/>
        <w:jc w:val="both"/>
        <w:rPr>
          <w:rFonts w:ascii="Arial" w:hAnsi="Arial" w:cs="Arial"/>
        </w:rPr>
      </w:pPr>
      <w:r w:rsidRPr="00056799">
        <w:rPr>
          <w:rFonts w:ascii="Arial" w:hAnsi="Arial" w:cs="Arial"/>
        </w:rPr>
        <w:t>Treasury does not have the data on existing property-based fire levies so it is not possible to calculate the increase options 3A and 3B would mean for property owners.</w:t>
      </w:r>
    </w:p>
    <w:p w14:paraId="2E5B6469" w14:textId="77777777" w:rsidR="005B0C9A" w:rsidRPr="00056799" w:rsidRDefault="005B0C9A" w:rsidP="00056799">
      <w:pPr>
        <w:tabs>
          <w:tab w:val="left" w:pos="1490"/>
        </w:tabs>
        <w:spacing w:before="0"/>
        <w:jc w:val="both"/>
        <w:rPr>
          <w:rFonts w:ascii="Arial" w:hAnsi="Arial" w:cs="Arial"/>
        </w:rPr>
      </w:pPr>
      <w:r w:rsidRPr="00056799">
        <w:rPr>
          <w:rFonts w:ascii="Arial" w:hAnsi="Arial" w:cs="Arial"/>
        </w:rPr>
        <w:t xml:space="preserve">Submissions were made by a number of parties on both the Blake Reports financial recommendations and the Treasury options paper. </w:t>
      </w:r>
    </w:p>
    <w:p w14:paraId="0327D2AF" w14:textId="7FAEACC5" w:rsidR="005B0C9A" w:rsidRPr="00056799" w:rsidRDefault="005B0C9A" w:rsidP="00056799">
      <w:pPr>
        <w:tabs>
          <w:tab w:val="left" w:pos="1490"/>
        </w:tabs>
        <w:spacing w:before="0"/>
        <w:jc w:val="both"/>
        <w:rPr>
          <w:rFonts w:ascii="Arial" w:hAnsi="Arial" w:cs="Arial"/>
        </w:rPr>
      </w:pPr>
      <w:r w:rsidRPr="00056799">
        <w:rPr>
          <w:rFonts w:ascii="Arial" w:hAnsi="Arial" w:cs="Arial"/>
        </w:rPr>
        <w:t>In the LGAT submission there was general support for the concept of a single property-based levy and for the retention of the motor vehicle levy</w:t>
      </w:r>
      <w:r w:rsidR="00D51CA2">
        <w:rPr>
          <w:rFonts w:ascii="Arial" w:hAnsi="Arial" w:cs="Arial"/>
        </w:rPr>
        <w:t xml:space="preserve"> (</w:t>
      </w:r>
      <w:r w:rsidRPr="00056799">
        <w:rPr>
          <w:rFonts w:ascii="Arial" w:hAnsi="Arial" w:cs="Arial"/>
        </w:rPr>
        <w:t>Option 3A).</w:t>
      </w:r>
    </w:p>
    <w:p w14:paraId="29CA4271" w14:textId="127CB9DD" w:rsidR="005B0C9A" w:rsidRPr="00056799" w:rsidRDefault="005B0C9A" w:rsidP="00056799">
      <w:pPr>
        <w:tabs>
          <w:tab w:val="left" w:pos="1490"/>
        </w:tabs>
        <w:spacing w:before="0"/>
        <w:jc w:val="both"/>
        <w:rPr>
          <w:rFonts w:ascii="Arial" w:hAnsi="Arial" w:cs="Arial"/>
        </w:rPr>
      </w:pPr>
      <w:r w:rsidRPr="00056799">
        <w:rPr>
          <w:rFonts w:ascii="Arial" w:hAnsi="Arial" w:cs="Arial"/>
        </w:rPr>
        <w:t>Further discussions with LGAT highlights the following points</w:t>
      </w:r>
      <w:r w:rsidR="00D51CA2">
        <w:rPr>
          <w:rFonts w:ascii="Arial" w:hAnsi="Arial" w:cs="Arial"/>
        </w:rPr>
        <w:t>:</w:t>
      </w:r>
    </w:p>
    <w:p w14:paraId="16F4C47C" w14:textId="7E369C37" w:rsidR="00D51CA2" w:rsidRDefault="00D51CA2" w:rsidP="00056799">
      <w:pPr>
        <w:pStyle w:val="ListParagraph"/>
        <w:numPr>
          <w:ilvl w:val="0"/>
          <w:numId w:val="62"/>
        </w:numPr>
        <w:autoSpaceDE w:val="0"/>
        <w:autoSpaceDN w:val="0"/>
        <w:adjustRightInd w:val="0"/>
        <w:jc w:val="both"/>
        <w:rPr>
          <w:rFonts w:ascii="Arial" w:hAnsi="Arial" w:cs="Arial"/>
        </w:rPr>
      </w:pPr>
      <w:r>
        <w:rPr>
          <w:rFonts w:ascii="Arial" w:hAnsi="Arial" w:cs="Arial"/>
        </w:rPr>
        <w:t xml:space="preserve">  </w:t>
      </w:r>
      <w:r w:rsidR="005B0C9A" w:rsidRPr="00056799">
        <w:rPr>
          <w:rFonts w:ascii="Arial" w:hAnsi="Arial" w:cs="Arial"/>
        </w:rPr>
        <w:t>A single levy should not serve as the sole mechanism for funding an integrated fire and</w:t>
      </w:r>
      <w:r>
        <w:rPr>
          <w:rFonts w:ascii="Arial" w:hAnsi="Arial" w:cs="Arial"/>
        </w:rPr>
        <w:t xml:space="preserve"> </w:t>
      </w:r>
      <w:r w:rsidR="005B0C9A" w:rsidRPr="00056799">
        <w:rPr>
          <w:rFonts w:ascii="Arial" w:hAnsi="Arial" w:cs="Arial"/>
        </w:rPr>
        <w:t xml:space="preserve">emergency service function. </w:t>
      </w:r>
    </w:p>
    <w:p w14:paraId="5348546E" w14:textId="03085A75" w:rsidR="00D51CA2" w:rsidRDefault="00D51CA2" w:rsidP="00D51CA2">
      <w:pPr>
        <w:pStyle w:val="ListParagraph"/>
        <w:numPr>
          <w:ilvl w:val="0"/>
          <w:numId w:val="62"/>
        </w:numPr>
        <w:tabs>
          <w:tab w:val="left" w:pos="1490"/>
        </w:tabs>
        <w:autoSpaceDE w:val="0"/>
        <w:autoSpaceDN w:val="0"/>
        <w:adjustRightInd w:val="0"/>
        <w:jc w:val="both"/>
        <w:rPr>
          <w:rFonts w:ascii="Arial" w:hAnsi="Arial" w:cs="Arial"/>
        </w:rPr>
      </w:pPr>
      <w:r>
        <w:rPr>
          <w:rFonts w:ascii="Arial" w:hAnsi="Arial" w:cs="Arial"/>
        </w:rPr>
        <w:t xml:space="preserve">  </w:t>
      </w:r>
      <w:r w:rsidR="005B0C9A" w:rsidRPr="00056799">
        <w:rPr>
          <w:rFonts w:ascii="Arial" w:hAnsi="Arial" w:cs="Arial"/>
        </w:rPr>
        <w:t>A fire and emergency service organization has roles that are</w:t>
      </w:r>
      <w:r w:rsidRPr="00D51CA2">
        <w:rPr>
          <w:rFonts w:ascii="Arial" w:hAnsi="Arial" w:cs="Arial"/>
        </w:rPr>
        <w:t xml:space="preserve"> </w:t>
      </w:r>
      <w:r w:rsidR="005B0C9A" w:rsidRPr="00056799">
        <w:rPr>
          <w:rFonts w:ascii="Arial" w:hAnsi="Arial" w:cs="Arial"/>
        </w:rPr>
        <w:t>broader than planning for, and responding to, an emergency such as government policy</w:t>
      </w:r>
      <w:r w:rsidRPr="00D51CA2">
        <w:rPr>
          <w:rFonts w:ascii="Arial" w:hAnsi="Arial" w:cs="Arial"/>
        </w:rPr>
        <w:t xml:space="preserve"> </w:t>
      </w:r>
      <w:r w:rsidR="005B0C9A" w:rsidRPr="00056799">
        <w:rPr>
          <w:rFonts w:ascii="Arial" w:hAnsi="Arial" w:cs="Arial"/>
        </w:rPr>
        <w:t xml:space="preserve">and intergovernmental relations. </w:t>
      </w:r>
    </w:p>
    <w:p w14:paraId="37106012" w14:textId="6CAF5867" w:rsidR="005B0C9A" w:rsidRDefault="00D51CA2" w:rsidP="00056799">
      <w:pPr>
        <w:pStyle w:val="ListParagraph"/>
        <w:numPr>
          <w:ilvl w:val="0"/>
          <w:numId w:val="62"/>
        </w:numPr>
        <w:tabs>
          <w:tab w:val="left" w:pos="1490"/>
        </w:tabs>
        <w:autoSpaceDE w:val="0"/>
        <w:autoSpaceDN w:val="0"/>
        <w:adjustRightInd w:val="0"/>
        <w:jc w:val="both"/>
        <w:rPr>
          <w:rFonts w:ascii="Arial" w:hAnsi="Arial" w:cs="Arial"/>
        </w:rPr>
      </w:pPr>
      <w:r>
        <w:rPr>
          <w:rFonts w:ascii="Arial" w:hAnsi="Arial" w:cs="Arial"/>
        </w:rPr>
        <w:t xml:space="preserve">  </w:t>
      </w:r>
      <w:r w:rsidR="005B0C9A" w:rsidRPr="00056799">
        <w:rPr>
          <w:rFonts w:ascii="Arial" w:hAnsi="Arial" w:cs="Arial"/>
        </w:rPr>
        <w:t>These roles should be funded by the State Government,</w:t>
      </w:r>
      <w:r>
        <w:rPr>
          <w:rFonts w:ascii="Arial" w:hAnsi="Arial" w:cs="Arial"/>
        </w:rPr>
        <w:t xml:space="preserve"> </w:t>
      </w:r>
      <w:r w:rsidR="005B0C9A" w:rsidRPr="00056799">
        <w:rPr>
          <w:rFonts w:ascii="Arial" w:hAnsi="Arial" w:cs="Arial"/>
        </w:rPr>
        <w:t xml:space="preserve">not through a levy.  </w:t>
      </w:r>
    </w:p>
    <w:p w14:paraId="1DDF4F59" w14:textId="77777777" w:rsidR="00346F95" w:rsidRPr="00346F95" w:rsidRDefault="00346F95" w:rsidP="00346F95">
      <w:pPr>
        <w:tabs>
          <w:tab w:val="left" w:pos="1490"/>
        </w:tabs>
        <w:autoSpaceDE w:val="0"/>
        <w:autoSpaceDN w:val="0"/>
        <w:adjustRightInd w:val="0"/>
        <w:jc w:val="both"/>
        <w:rPr>
          <w:rFonts w:ascii="Arial" w:hAnsi="Arial" w:cs="Arial"/>
        </w:rPr>
      </w:pPr>
    </w:p>
    <w:p w14:paraId="0A425647" w14:textId="77777777" w:rsidR="005B0C9A" w:rsidRPr="00056799" w:rsidRDefault="005B0C9A" w:rsidP="00056799">
      <w:pPr>
        <w:tabs>
          <w:tab w:val="left" w:pos="1490"/>
        </w:tabs>
        <w:spacing w:before="0"/>
        <w:jc w:val="both"/>
        <w:rPr>
          <w:rFonts w:ascii="Arial" w:hAnsi="Arial" w:cs="Arial"/>
        </w:rPr>
      </w:pPr>
      <w:r w:rsidRPr="00056799">
        <w:rPr>
          <w:rFonts w:ascii="Arial" w:hAnsi="Arial" w:cs="Arial"/>
        </w:rPr>
        <w:lastRenderedPageBreak/>
        <w:t>It is worth noting that the $100 million assumption is 82% of the current TFS budget so the broader roles are not funded by the levies and that the functions highlighted by LGAT are currently provided by DPFEM.</w:t>
      </w:r>
    </w:p>
    <w:p w14:paraId="2DF49D10" w14:textId="77777777" w:rsidR="005B0C9A" w:rsidRPr="00056799" w:rsidRDefault="005B0C9A" w:rsidP="00056799">
      <w:pPr>
        <w:tabs>
          <w:tab w:val="left" w:pos="1490"/>
        </w:tabs>
        <w:spacing w:before="0" w:after="0"/>
        <w:jc w:val="both"/>
        <w:rPr>
          <w:rFonts w:ascii="Arial" w:hAnsi="Arial" w:cs="Arial"/>
        </w:rPr>
      </w:pPr>
      <w:r w:rsidRPr="00056799">
        <w:rPr>
          <w:rFonts w:ascii="Arial" w:hAnsi="Arial" w:cs="Arial"/>
        </w:rPr>
        <w:t>The current differential approach to the levy between urban and rural services was of</w:t>
      </w:r>
    </w:p>
    <w:p w14:paraId="46E6694B" w14:textId="239C11B7" w:rsidR="00616C59" w:rsidRPr="00056799" w:rsidRDefault="005B0C9A" w:rsidP="00056799">
      <w:pPr>
        <w:tabs>
          <w:tab w:val="left" w:pos="1490"/>
        </w:tabs>
        <w:spacing w:before="0"/>
        <w:jc w:val="both"/>
        <w:rPr>
          <w:rFonts w:ascii="Arial" w:hAnsi="Arial" w:cs="Arial"/>
        </w:rPr>
      </w:pPr>
      <w:r w:rsidRPr="00056799">
        <w:rPr>
          <w:rFonts w:ascii="Arial" w:hAnsi="Arial" w:cs="Arial"/>
        </w:rPr>
        <w:t>concern to many councils hence their support of option 3A.</w:t>
      </w:r>
    </w:p>
    <w:p w14:paraId="01886D69" w14:textId="2FEA7618"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It is reasonable to assume that Option 3A is the favo</w:t>
      </w:r>
      <w:r w:rsidR="00C26777">
        <w:rPr>
          <w:rFonts w:ascii="Arial" w:hAnsi="Arial" w:cs="Arial"/>
        </w:rPr>
        <w:t>u</w:t>
      </w:r>
      <w:r w:rsidRPr="00056799">
        <w:rPr>
          <w:rFonts w:ascii="Arial" w:hAnsi="Arial" w:cs="Arial"/>
        </w:rPr>
        <w:t>red option and is the one that should be further investigated by Treasury to determine the actual amounts and likely increases above the current levies contained in the rates notices to property holders.</w:t>
      </w:r>
    </w:p>
    <w:p w14:paraId="6D024800" w14:textId="28FDF651"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This is a critical matter for Government in that there will be increases in a model that replaces three levies with two.  The actual aggregate increase for individuals and commercial property owners will probably be in the few hundreds of dollars p.a but the actual percentage increase will be significant.</w:t>
      </w:r>
    </w:p>
    <w:p w14:paraId="5975936F" w14:textId="2D893414"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This issue is exacerbated by the fact that both the TFS and the SES assert they are underfunded to the order of $10m p.a (TFS) and $5m p.a (SES).  Any budget correction that is funded by an increase in a property-based levy and the motor vehicle levy will be difficult in the current environment</w:t>
      </w:r>
      <w:r w:rsidR="00C26777">
        <w:rPr>
          <w:rFonts w:ascii="Arial" w:hAnsi="Arial" w:cs="Arial"/>
        </w:rPr>
        <w:t>.</w:t>
      </w:r>
    </w:p>
    <w:p w14:paraId="0EFF9D4D" w14:textId="27FD0D70"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 xml:space="preserve">Advice from Treasury regarding the full costing of option 3A is that given the amount of resource required to complete the costing at a time when significant resources are involved in dealing with other taxation issues means they would require from the Minister and or Treasurer a decision that recommendation 11 and 18 are adopted and will proceed to the legislative drafting stage.  </w:t>
      </w:r>
    </w:p>
    <w:p w14:paraId="2DAC4EE8" w14:textId="1AA9C4AF"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Submissions on recommendation 12, the cessation of the insurance levy was the subject of 10 submissions, three from private businesses and seven from either insurance agents or peak insurance groups.  All supported this recommendation strongly.  The LGAT submission did not express any opinion on this recommendation.</w:t>
      </w:r>
    </w:p>
    <w:p w14:paraId="4E38B762" w14:textId="3DCF5330"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Recommendation 13 - retain the motor vehicle levy, recommendation 23 – don’t fund TFES through appropriation, and recommendation 24 - involvement of Treasury in determining the amount to be collected by the levy through local government are appropriate given the previous comments on recommendations 11 and 18.</w:t>
      </w:r>
    </w:p>
    <w:p w14:paraId="60A94B98" w14:textId="0BFA1F0A"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Recommendations 14 and 16, to continue contributions from the Australian Government and the State Government respectively but don’t include them as a source of base- level funding are appropriate and not opposed in any submission.</w:t>
      </w:r>
    </w:p>
    <w:p w14:paraId="1BF43A4A" w14:textId="13D0CAEE"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Recommendation 15 – funding from the marketing and fire prevention functions of TFES not be part of base-level funding should be supported and received no comments in submissions received.  The second part of this recommendation is that revenue streams from the MAIB be discontinued.  This is based on the fact that the monies are immaterial with an unnecessary administrative burden, and they are not predictable.  This recommendation received no comments from submissions and should be supported.</w:t>
      </w:r>
    </w:p>
    <w:p w14:paraId="04D829DF" w14:textId="269367A3" w:rsidR="005B0C9A" w:rsidRDefault="005B0C9A" w:rsidP="00056799">
      <w:pPr>
        <w:autoSpaceDE w:val="0"/>
        <w:autoSpaceDN w:val="0"/>
        <w:adjustRightInd w:val="0"/>
        <w:spacing w:before="0"/>
        <w:jc w:val="both"/>
        <w:rPr>
          <w:rFonts w:ascii="Arial" w:hAnsi="Arial" w:cs="Arial"/>
        </w:rPr>
      </w:pPr>
      <w:r w:rsidRPr="00056799">
        <w:rPr>
          <w:rFonts w:ascii="Arial" w:hAnsi="Arial" w:cs="Arial"/>
        </w:rPr>
        <w:t>Recommendation 22 – discontinue local government funding of SES, transition associated resources from local government to TFES and Recommendation 17- include $5m p.a (levy or appropriation) to TFES to pay for functions and services transitioned from local government to TFES.</w:t>
      </w:r>
    </w:p>
    <w:p w14:paraId="7FFBA384" w14:textId="77777777" w:rsidR="00346F95" w:rsidRPr="00056799" w:rsidRDefault="00346F95" w:rsidP="00056799">
      <w:pPr>
        <w:autoSpaceDE w:val="0"/>
        <w:autoSpaceDN w:val="0"/>
        <w:adjustRightInd w:val="0"/>
        <w:spacing w:before="0"/>
        <w:jc w:val="both"/>
        <w:rPr>
          <w:rFonts w:ascii="Arial" w:hAnsi="Arial" w:cs="Arial"/>
        </w:rPr>
      </w:pPr>
    </w:p>
    <w:p w14:paraId="73CAF865" w14:textId="46B545D4"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lastRenderedPageBreak/>
        <w:t>The transfer of functions, services, and assets from local government to SES is supported by LGAT subject to</w:t>
      </w:r>
      <w:r w:rsidR="00C26777">
        <w:rPr>
          <w:rFonts w:ascii="Arial" w:hAnsi="Arial" w:cs="Arial"/>
        </w:rPr>
        <w:t>:</w:t>
      </w:r>
      <w:r w:rsidRPr="00056799">
        <w:rPr>
          <w:rFonts w:ascii="Arial" w:hAnsi="Arial" w:cs="Arial"/>
        </w:rPr>
        <w:t xml:space="preserve"> </w:t>
      </w:r>
    </w:p>
    <w:p w14:paraId="4CA83739" w14:textId="77777777" w:rsidR="005B0C9A" w:rsidRPr="00056799" w:rsidRDefault="005B0C9A" w:rsidP="00056799">
      <w:pPr>
        <w:pStyle w:val="ListParagraph"/>
        <w:keepLines/>
        <w:numPr>
          <w:ilvl w:val="0"/>
          <w:numId w:val="6"/>
        </w:numPr>
        <w:tabs>
          <w:tab w:val="clear" w:pos="567"/>
          <w:tab w:val="clear" w:pos="1134"/>
          <w:tab w:val="clear" w:pos="1701"/>
        </w:tabs>
        <w:autoSpaceDE w:val="0"/>
        <w:autoSpaceDN w:val="0"/>
        <w:adjustRightInd w:val="0"/>
        <w:spacing w:after="120" w:line="240" w:lineRule="auto"/>
        <w:jc w:val="both"/>
        <w:rPr>
          <w:rFonts w:ascii="Arial" w:hAnsi="Arial" w:cs="Arial"/>
        </w:rPr>
      </w:pPr>
      <w:r w:rsidRPr="00056799">
        <w:rPr>
          <w:rFonts w:ascii="Arial" w:hAnsi="Arial" w:cs="Arial"/>
        </w:rPr>
        <w:t xml:space="preserve">Agreed arrangements for transfer of plant and equipment prior to it being written into legislation (i.e., plant and equipment needs to be book value, future lease arrangements need to be agreed, arrangements for resource sharing established). </w:t>
      </w:r>
    </w:p>
    <w:p w14:paraId="6C5B5B59" w14:textId="3BA96A50" w:rsidR="005B0C9A" w:rsidRPr="00056799" w:rsidRDefault="00C26777" w:rsidP="00056799">
      <w:pPr>
        <w:pStyle w:val="ListParagraph"/>
        <w:keepLines/>
        <w:numPr>
          <w:ilvl w:val="0"/>
          <w:numId w:val="6"/>
        </w:numPr>
        <w:tabs>
          <w:tab w:val="clear" w:pos="567"/>
          <w:tab w:val="clear" w:pos="1134"/>
          <w:tab w:val="clear" w:pos="1701"/>
        </w:tabs>
        <w:autoSpaceDE w:val="0"/>
        <w:autoSpaceDN w:val="0"/>
        <w:adjustRightInd w:val="0"/>
        <w:spacing w:after="120" w:line="240" w:lineRule="auto"/>
        <w:jc w:val="both"/>
        <w:rPr>
          <w:rFonts w:ascii="Arial" w:hAnsi="Arial" w:cs="Arial"/>
        </w:rPr>
      </w:pPr>
      <w:r>
        <w:rPr>
          <w:rFonts w:ascii="Arial" w:hAnsi="Arial" w:cs="Arial"/>
        </w:rPr>
        <w:t>C</w:t>
      </w:r>
      <w:r w:rsidR="005B0C9A" w:rsidRPr="00056799">
        <w:rPr>
          <w:rFonts w:ascii="Arial" w:hAnsi="Arial" w:cs="Arial"/>
        </w:rPr>
        <w:t>oncerns about the identity of SES volunteer units with their communities and the need to maintain the local community service aspect</w:t>
      </w:r>
      <w:r>
        <w:rPr>
          <w:rFonts w:ascii="Arial" w:hAnsi="Arial" w:cs="Arial"/>
        </w:rPr>
        <w:t>.</w:t>
      </w:r>
      <w:r w:rsidR="005B0C9A" w:rsidRPr="00056799">
        <w:rPr>
          <w:rFonts w:ascii="Arial" w:hAnsi="Arial" w:cs="Arial"/>
        </w:rPr>
        <w:t xml:space="preserve"> </w:t>
      </w:r>
    </w:p>
    <w:p w14:paraId="07CC56C7" w14:textId="77777777" w:rsidR="005B0C9A" w:rsidRPr="00056799" w:rsidRDefault="005B0C9A" w:rsidP="00056799">
      <w:pPr>
        <w:pStyle w:val="ListParagraph"/>
        <w:keepLines/>
        <w:numPr>
          <w:ilvl w:val="0"/>
          <w:numId w:val="6"/>
        </w:numPr>
        <w:tabs>
          <w:tab w:val="clear" w:pos="567"/>
          <w:tab w:val="clear" w:pos="1134"/>
          <w:tab w:val="clear" w:pos="1701"/>
        </w:tabs>
        <w:autoSpaceDE w:val="0"/>
        <w:autoSpaceDN w:val="0"/>
        <w:adjustRightInd w:val="0"/>
        <w:spacing w:after="120" w:line="240" w:lineRule="auto"/>
        <w:jc w:val="both"/>
        <w:rPr>
          <w:rFonts w:ascii="Arial" w:hAnsi="Arial" w:cs="Arial"/>
        </w:rPr>
      </w:pPr>
      <w:r w:rsidRPr="00056799">
        <w:rPr>
          <w:rFonts w:ascii="Arial" w:hAnsi="Arial" w:cs="Arial"/>
        </w:rPr>
        <w:t>Establishment of clear mechanisms to embed links between SES volunteer units and the various Municipal Emergency Management Committees (MEMC).</w:t>
      </w:r>
    </w:p>
    <w:p w14:paraId="4529C412" w14:textId="21E0E2E1"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 xml:space="preserve">The submission from the SES </w:t>
      </w:r>
      <w:r w:rsidR="00C26777">
        <w:rPr>
          <w:rFonts w:ascii="Arial" w:hAnsi="Arial" w:cs="Arial"/>
        </w:rPr>
        <w:t>V</w:t>
      </w:r>
      <w:r w:rsidRPr="00056799">
        <w:rPr>
          <w:rFonts w:ascii="Arial" w:hAnsi="Arial" w:cs="Arial"/>
        </w:rPr>
        <w:t xml:space="preserve">olunteers </w:t>
      </w:r>
      <w:r w:rsidR="00C26777">
        <w:rPr>
          <w:rFonts w:ascii="Arial" w:hAnsi="Arial" w:cs="Arial"/>
        </w:rPr>
        <w:t>A</w:t>
      </w:r>
      <w:r w:rsidRPr="00056799">
        <w:rPr>
          <w:rFonts w:ascii="Arial" w:hAnsi="Arial" w:cs="Arial"/>
        </w:rPr>
        <w:t>ssociation also supports the recommendations and no submissions opposed it.</w:t>
      </w:r>
    </w:p>
    <w:p w14:paraId="279062BB" w14:textId="4B6C9E64" w:rsidR="00C26777" w:rsidRDefault="005B0C9A" w:rsidP="00D51CA2">
      <w:pPr>
        <w:autoSpaceDE w:val="0"/>
        <w:autoSpaceDN w:val="0"/>
        <w:adjustRightInd w:val="0"/>
        <w:spacing w:before="0"/>
        <w:jc w:val="both"/>
        <w:rPr>
          <w:rFonts w:ascii="Arial" w:hAnsi="Arial" w:cs="Arial"/>
        </w:rPr>
      </w:pPr>
      <w:r w:rsidRPr="00056799">
        <w:rPr>
          <w:rFonts w:ascii="Arial" w:hAnsi="Arial" w:cs="Arial"/>
        </w:rPr>
        <w:t xml:space="preserve">The concerns over identity and local community involvement are reasonable easy to address and resolve.  The funding matters are more difficult. </w:t>
      </w:r>
      <w:r w:rsidR="00C26777">
        <w:rPr>
          <w:rFonts w:ascii="Arial" w:hAnsi="Arial" w:cs="Arial"/>
        </w:rPr>
        <w:t>I</w:t>
      </w:r>
      <w:r w:rsidRPr="00056799">
        <w:rPr>
          <w:rFonts w:ascii="Arial" w:hAnsi="Arial" w:cs="Arial"/>
        </w:rPr>
        <w:t xml:space="preserve">t is difficult to justify state expenditure on purchasing SES assets from local government and could be reasonably expensive with no net gain to the services asset base.  </w:t>
      </w:r>
    </w:p>
    <w:p w14:paraId="377E7E45" w14:textId="21053533" w:rsidR="00C26777" w:rsidRDefault="005B0C9A" w:rsidP="00D51CA2">
      <w:pPr>
        <w:autoSpaceDE w:val="0"/>
        <w:autoSpaceDN w:val="0"/>
        <w:adjustRightInd w:val="0"/>
        <w:spacing w:before="0"/>
        <w:jc w:val="both"/>
        <w:rPr>
          <w:rFonts w:ascii="Arial" w:hAnsi="Arial" w:cs="Arial"/>
        </w:rPr>
      </w:pPr>
      <w:r w:rsidRPr="00056799">
        <w:rPr>
          <w:rFonts w:ascii="Arial" w:hAnsi="Arial" w:cs="Arial"/>
        </w:rPr>
        <w:t xml:space="preserve">The implementation of recommendation 22 will require negotiation with local councils and should be balanced against the continuation of the fee paid to local government for collection of the levy.  </w:t>
      </w:r>
    </w:p>
    <w:p w14:paraId="6E53ADB8" w14:textId="6A401550"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It is suggested that recommendations 22 and 17 should be supported subject to an agreed negotiated settlement with local government.</w:t>
      </w:r>
    </w:p>
    <w:p w14:paraId="75803755" w14:textId="77777777"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Recommendation 19 – quantify and fund current concessions as Community Service Obligations and remove current exemptions for the levy apart from crown land, sustainable timbers land and land and buildings owned by Councils or Government.</w:t>
      </w:r>
    </w:p>
    <w:p w14:paraId="359053E7" w14:textId="7B00DD94"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There was no opposition to this recommendation from any submission and should be supported.</w:t>
      </w:r>
    </w:p>
    <w:p w14:paraId="3ED3F57E" w14:textId="760BC9E5"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Recommendation 20 – ring fencing for monies raised for TFES.</w:t>
      </w:r>
      <w:r w:rsidR="00616C59" w:rsidRPr="00056799">
        <w:rPr>
          <w:rFonts w:ascii="Arial" w:hAnsi="Arial" w:cs="Arial"/>
        </w:rPr>
        <w:t xml:space="preserve"> </w:t>
      </w:r>
      <w:r w:rsidRPr="00056799">
        <w:rPr>
          <w:rFonts w:ascii="Arial" w:hAnsi="Arial" w:cs="Arial"/>
        </w:rPr>
        <w:t>This was strongly supported by a number of submissions including LGAT and the various volunteer organizations.  It should be supported.</w:t>
      </w:r>
    </w:p>
    <w:p w14:paraId="647DB5CB" w14:textId="77777777"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Recommendation 21 – transition arrangements for increase in property-based levy and engage with the Insurance Council of Australia and property owners to quantify insurance levy savings and how these could be shared with the community.</w:t>
      </w:r>
    </w:p>
    <w:p w14:paraId="27E8E918" w14:textId="3C39B424"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It is difficult to know whether transitional arrangements are needed until the increase in the levy is known and this should form part of the implementation phase of this project.</w:t>
      </w:r>
    </w:p>
    <w:p w14:paraId="2D431037" w14:textId="77777777"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Recommendation 25 – continue local government collection of the levy with a renegotiated fee and have the Head of TFES and the Minister state annually how the levy is constructed, reason for increases and the fact it is collected by local government for a fee.</w:t>
      </w:r>
    </w:p>
    <w:p w14:paraId="00D1E74D" w14:textId="77777777"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The LGAT submission strongly supports the current arrangements for collection including the current fee of 4%.</w:t>
      </w:r>
    </w:p>
    <w:p w14:paraId="7E8AB585" w14:textId="68D7B78A"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 xml:space="preserve">The continuation of local government collecting the fee is reasonable as the only other alternative is to have the State Revenue Office undertake the role.  The set up and running costs of this are likely to be significant and will be opposed by LGAT.  As stated </w:t>
      </w:r>
      <w:r w:rsidRPr="00056799">
        <w:rPr>
          <w:rFonts w:ascii="Arial" w:hAnsi="Arial" w:cs="Arial"/>
        </w:rPr>
        <w:lastRenderedPageBreak/>
        <w:t>in the text on recommendations 22 and 17 the current 4% should be part of the negotiation on the transfer of SES assets to the TFES.</w:t>
      </w:r>
    </w:p>
    <w:p w14:paraId="2A62ACC9" w14:textId="77777777"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In relation to the public statements about the levy including any proposed increases the LGAT submission states the following</w:t>
      </w:r>
    </w:p>
    <w:p w14:paraId="4D1AC419" w14:textId="64742821"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The transparency around levy increases is limited and increases have exceeded CPI over a number of years for many council areas. The current annual levy determination lacks transparency and levy increases are not in line with community expectations. Any changes to the levy must be transparent and consider the cost-of-living pressures.</w:t>
      </w:r>
    </w:p>
    <w:p w14:paraId="16E1C0A3" w14:textId="77777777" w:rsidR="005B0C9A" w:rsidRPr="00056799" w:rsidRDefault="005B0C9A" w:rsidP="00056799">
      <w:pPr>
        <w:autoSpaceDE w:val="0"/>
        <w:autoSpaceDN w:val="0"/>
        <w:adjustRightInd w:val="0"/>
        <w:spacing w:before="0" w:after="0"/>
        <w:jc w:val="both"/>
        <w:rPr>
          <w:rFonts w:ascii="Arial" w:hAnsi="Arial" w:cs="Arial"/>
        </w:rPr>
      </w:pPr>
      <w:r w:rsidRPr="00056799">
        <w:rPr>
          <w:rFonts w:ascii="Arial" w:hAnsi="Arial" w:cs="Arial"/>
        </w:rPr>
        <w:t>The TFES could be regarded as a monopoly provider of emergency services, so</w:t>
      </w:r>
    </w:p>
    <w:p w14:paraId="5C60D81A" w14:textId="0EC9D8F7"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 xml:space="preserve">transparency regarding dedicated funding and the levy is crucial. </w:t>
      </w:r>
    </w:p>
    <w:p w14:paraId="5921B7B0" w14:textId="77777777" w:rsidR="00C26777" w:rsidRDefault="005B0C9A" w:rsidP="00C26777">
      <w:pPr>
        <w:autoSpaceDE w:val="0"/>
        <w:autoSpaceDN w:val="0"/>
        <w:adjustRightInd w:val="0"/>
        <w:spacing w:before="0"/>
        <w:jc w:val="both"/>
        <w:rPr>
          <w:rFonts w:ascii="Arial" w:hAnsi="Arial" w:cs="Arial"/>
        </w:rPr>
      </w:pPr>
      <w:r w:rsidRPr="00056799">
        <w:rPr>
          <w:rFonts w:ascii="Arial" w:hAnsi="Arial" w:cs="Arial"/>
        </w:rPr>
        <w:t>Calculating contributions over a five-year timeframe may be an option and would be similar to the current requirements of Tas Networks or Tas Water to submit investment, operating and</w:t>
      </w:r>
      <w:r w:rsidR="00616C59" w:rsidRPr="00056799">
        <w:rPr>
          <w:rFonts w:ascii="Arial" w:hAnsi="Arial" w:cs="Arial"/>
        </w:rPr>
        <w:t xml:space="preserve"> </w:t>
      </w:r>
      <w:r w:rsidRPr="00056799">
        <w:rPr>
          <w:rFonts w:ascii="Arial" w:hAnsi="Arial" w:cs="Arial"/>
        </w:rPr>
        <w:t xml:space="preserve">pricing plans to their respective economic regulators. </w:t>
      </w:r>
    </w:p>
    <w:p w14:paraId="79754618" w14:textId="4B2F4885" w:rsidR="005B0C9A" w:rsidRPr="00056799" w:rsidRDefault="005B0C9A" w:rsidP="00056799">
      <w:pPr>
        <w:autoSpaceDE w:val="0"/>
        <w:autoSpaceDN w:val="0"/>
        <w:adjustRightInd w:val="0"/>
        <w:spacing w:before="0"/>
        <w:jc w:val="both"/>
        <w:rPr>
          <w:rFonts w:ascii="Arial" w:hAnsi="Arial" w:cs="Arial"/>
        </w:rPr>
      </w:pPr>
      <w:r w:rsidRPr="00056799">
        <w:rPr>
          <w:rFonts w:ascii="Arial" w:hAnsi="Arial" w:cs="Arial"/>
        </w:rPr>
        <w:t>For the TFES this could be</w:t>
      </w:r>
      <w:r w:rsidR="00C26777">
        <w:rPr>
          <w:rFonts w:ascii="Arial" w:hAnsi="Arial" w:cs="Arial"/>
        </w:rPr>
        <w:t xml:space="preserve"> </w:t>
      </w:r>
      <w:r w:rsidRPr="00056799">
        <w:rPr>
          <w:rFonts w:ascii="Arial" w:hAnsi="Arial" w:cs="Arial"/>
        </w:rPr>
        <w:t>undertaken by the Tasmanian Economic Regulator (TER). By implementing this</w:t>
      </w:r>
      <w:r w:rsidR="00C26777">
        <w:rPr>
          <w:rFonts w:ascii="Arial" w:hAnsi="Arial" w:cs="Arial"/>
        </w:rPr>
        <w:t xml:space="preserve"> </w:t>
      </w:r>
      <w:r w:rsidRPr="00056799">
        <w:rPr>
          <w:rFonts w:ascii="Arial" w:hAnsi="Arial" w:cs="Arial"/>
        </w:rPr>
        <w:t>requirement, such an option would allow for increased certainty over the period and</w:t>
      </w:r>
      <w:r w:rsidR="00C26777">
        <w:rPr>
          <w:rFonts w:ascii="Arial" w:hAnsi="Arial" w:cs="Arial"/>
        </w:rPr>
        <w:t xml:space="preserve"> </w:t>
      </w:r>
      <w:r w:rsidRPr="00056799">
        <w:rPr>
          <w:rFonts w:ascii="Arial" w:hAnsi="Arial" w:cs="Arial"/>
        </w:rPr>
        <w:t>would enable stakeholders to make submissions to any review before a determination is</w:t>
      </w:r>
      <w:r w:rsidR="00C26777">
        <w:rPr>
          <w:rFonts w:ascii="Arial" w:hAnsi="Arial" w:cs="Arial"/>
        </w:rPr>
        <w:t xml:space="preserve"> </w:t>
      </w:r>
      <w:r w:rsidRPr="00056799">
        <w:rPr>
          <w:rFonts w:ascii="Arial" w:hAnsi="Arial" w:cs="Arial"/>
        </w:rPr>
        <w:t>made by the TER. With regular review and assessment dedicated funding would need to</w:t>
      </w:r>
      <w:r w:rsidR="00C26777">
        <w:rPr>
          <w:rFonts w:ascii="Arial" w:hAnsi="Arial" w:cs="Arial"/>
        </w:rPr>
        <w:t xml:space="preserve"> </w:t>
      </w:r>
      <w:r w:rsidRPr="00056799">
        <w:rPr>
          <w:rFonts w:ascii="Arial" w:hAnsi="Arial" w:cs="Arial"/>
        </w:rPr>
        <w:t>meet required service levels and deliver financial sustainability for the service.</w:t>
      </w:r>
    </w:p>
    <w:p w14:paraId="12080361" w14:textId="20DA475E" w:rsidR="005B0C9A" w:rsidRPr="00056799" w:rsidRDefault="005B0C9A" w:rsidP="00056799">
      <w:pPr>
        <w:tabs>
          <w:tab w:val="left" w:pos="1490"/>
        </w:tabs>
        <w:spacing w:before="0"/>
        <w:jc w:val="both"/>
        <w:rPr>
          <w:rFonts w:ascii="Arial" w:hAnsi="Arial" w:cs="Arial"/>
        </w:rPr>
      </w:pPr>
      <w:r w:rsidRPr="00056799">
        <w:rPr>
          <w:rFonts w:ascii="Arial" w:hAnsi="Arial" w:cs="Arial"/>
        </w:rPr>
        <w:t>This suggestion is worth pursuing and would assist with transparency and the confidence in the community that any increase in the levy is appropriate and justified.</w:t>
      </w:r>
    </w:p>
    <w:p w14:paraId="4F0A9970" w14:textId="04BBDD58" w:rsidR="005B0C9A" w:rsidRPr="00B61C40" w:rsidRDefault="00616C59" w:rsidP="00056799">
      <w:pPr>
        <w:tabs>
          <w:tab w:val="left" w:pos="1490"/>
        </w:tabs>
        <w:spacing w:before="0"/>
        <w:jc w:val="both"/>
        <w:rPr>
          <w:rFonts w:ascii="Arial" w:hAnsi="Arial" w:cs="Arial"/>
          <w:sz w:val="22"/>
          <w:szCs w:val="22"/>
        </w:rPr>
      </w:pPr>
      <w:r w:rsidRPr="00056799">
        <w:rPr>
          <w:rFonts w:ascii="Arial" w:hAnsi="Arial" w:cs="Arial"/>
        </w:rPr>
        <w:t>In s</w:t>
      </w:r>
      <w:r w:rsidR="005B0C9A" w:rsidRPr="00056799">
        <w:rPr>
          <w:rFonts w:ascii="Arial" w:hAnsi="Arial" w:cs="Arial"/>
        </w:rPr>
        <w:t>ummary</w:t>
      </w:r>
      <w:r w:rsidRPr="00056799">
        <w:rPr>
          <w:rFonts w:ascii="Arial" w:hAnsi="Arial" w:cs="Arial"/>
          <w:b/>
          <w:bCs/>
        </w:rPr>
        <w:t xml:space="preserve"> </w:t>
      </w:r>
      <w:r w:rsidRPr="00056799">
        <w:rPr>
          <w:rFonts w:ascii="Arial" w:hAnsi="Arial" w:cs="Arial"/>
        </w:rPr>
        <w:t>s</w:t>
      </w:r>
      <w:r w:rsidR="005B0C9A" w:rsidRPr="00056799">
        <w:rPr>
          <w:rFonts w:ascii="Arial" w:hAnsi="Arial" w:cs="Arial"/>
        </w:rPr>
        <w:t>upport</w:t>
      </w:r>
      <w:r w:rsidRPr="00056799">
        <w:rPr>
          <w:rFonts w:ascii="Arial" w:hAnsi="Arial" w:cs="Arial"/>
        </w:rPr>
        <w:t xml:space="preserve"> r</w:t>
      </w:r>
      <w:r w:rsidR="005B0C9A" w:rsidRPr="00056799">
        <w:rPr>
          <w:rFonts w:ascii="Arial" w:hAnsi="Arial" w:cs="Arial"/>
        </w:rPr>
        <w:t>ecommendations 11,</w:t>
      </w:r>
      <w:r w:rsidR="00C26777">
        <w:rPr>
          <w:rFonts w:ascii="Arial" w:hAnsi="Arial" w:cs="Arial"/>
        </w:rPr>
        <w:t xml:space="preserve"> </w:t>
      </w:r>
      <w:r w:rsidR="005B0C9A" w:rsidRPr="00056799">
        <w:rPr>
          <w:rFonts w:ascii="Arial" w:hAnsi="Arial" w:cs="Arial"/>
        </w:rPr>
        <w:t>12,</w:t>
      </w:r>
      <w:r w:rsidR="00C26777">
        <w:rPr>
          <w:rFonts w:ascii="Arial" w:hAnsi="Arial" w:cs="Arial"/>
        </w:rPr>
        <w:t xml:space="preserve"> </w:t>
      </w:r>
      <w:r w:rsidR="005B0C9A" w:rsidRPr="00056799">
        <w:rPr>
          <w:rFonts w:ascii="Arial" w:hAnsi="Arial" w:cs="Arial"/>
        </w:rPr>
        <w:t>13,</w:t>
      </w:r>
      <w:r w:rsidR="00C26777">
        <w:rPr>
          <w:rFonts w:ascii="Arial" w:hAnsi="Arial" w:cs="Arial"/>
        </w:rPr>
        <w:t xml:space="preserve"> </w:t>
      </w:r>
      <w:r w:rsidR="005B0C9A" w:rsidRPr="00056799">
        <w:rPr>
          <w:rFonts w:ascii="Arial" w:hAnsi="Arial" w:cs="Arial"/>
        </w:rPr>
        <w:t>14,</w:t>
      </w:r>
      <w:r w:rsidR="00C26777">
        <w:rPr>
          <w:rFonts w:ascii="Arial" w:hAnsi="Arial" w:cs="Arial"/>
        </w:rPr>
        <w:t xml:space="preserve"> </w:t>
      </w:r>
      <w:r w:rsidR="005B0C9A" w:rsidRPr="00056799">
        <w:rPr>
          <w:rFonts w:ascii="Arial" w:hAnsi="Arial" w:cs="Arial"/>
        </w:rPr>
        <w:t>15,</w:t>
      </w:r>
      <w:r w:rsidR="00C26777">
        <w:rPr>
          <w:rFonts w:ascii="Arial" w:hAnsi="Arial" w:cs="Arial"/>
        </w:rPr>
        <w:t xml:space="preserve"> </w:t>
      </w:r>
      <w:r w:rsidR="005B0C9A" w:rsidRPr="00056799">
        <w:rPr>
          <w:rFonts w:ascii="Arial" w:hAnsi="Arial" w:cs="Arial"/>
        </w:rPr>
        <w:t>16,</w:t>
      </w:r>
      <w:r w:rsidR="00C26777">
        <w:rPr>
          <w:rFonts w:ascii="Arial" w:hAnsi="Arial" w:cs="Arial"/>
        </w:rPr>
        <w:t xml:space="preserve"> </w:t>
      </w:r>
      <w:r w:rsidR="005B0C9A" w:rsidRPr="00056799">
        <w:rPr>
          <w:rFonts w:ascii="Arial" w:hAnsi="Arial" w:cs="Arial"/>
        </w:rPr>
        <w:t>17,</w:t>
      </w:r>
      <w:r w:rsidR="00C26777">
        <w:rPr>
          <w:rFonts w:ascii="Arial" w:hAnsi="Arial" w:cs="Arial"/>
        </w:rPr>
        <w:t xml:space="preserve"> </w:t>
      </w:r>
      <w:r w:rsidR="005B0C9A" w:rsidRPr="00056799">
        <w:rPr>
          <w:rFonts w:ascii="Arial" w:hAnsi="Arial" w:cs="Arial"/>
        </w:rPr>
        <w:t>18,</w:t>
      </w:r>
      <w:r w:rsidR="00C26777">
        <w:rPr>
          <w:rFonts w:ascii="Arial" w:hAnsi="Arial" w:cs="Arial"/>
        </w:rPr>
        <w:t xml:space="preserve"> </w:t>
      </w:r>
      <w:r w:rsidR="005B0C9A" w:rsidRPr="00056799">
        <w:rPr>
          <w:rFonts w:ascii="Arial" w:hAnsi="Arial" w:cs="Arial"/>
        </w:rPr>
        <w:t>19,</w:t>
      </w:r>
      <w:r w:rsidR="00C26777">
        <w:rPr>
          <w:rFonts w:ascii="Arial" w:hAnsi="Arial" w:cs="Arial"/>
        </w:rPr>
        <w:t xml:space="preserve"> </w:t>
      </w:r>
      <w:r w:rsidR="005B0C9A" w:rsidRPr="00056799">
        <w:rPr>
          <w:rFonts w:ascii="Arial" w:hAnsi="Arial" w:cs="Arial"/>
        </w:rPr>
        <w:t>20,</w:t>
      </w:r>
      <w:r w:rsidR="00C26777">
        <w:rPr>
          <w:rFonts w:ascii="Arial" w:hAnsi="Arial" w:cs="Arial"/>
        </w:rPr>
        <w:t xml:space="preserve"> </w:t>
      </w:r>
      <w:r w:rsidR="005B0C9A" w:rsidRPr="00056799">
        <w:rPr>
          <w:rFonts w:ascii="Arial" w:hAnsi="Arial" w:cs="Arial"/>
        </w:rPr>
        <w:t>22,</w:t>
      </w:r>
      <w:r w:rsidR="00C26777">
        <w:rPr>
          <w:rFonts w:ascii="Arial" w:hAnsi="Arial" w:cs="Arial"/>
        </w:rPr>
        <w:t xml:space="preserve"> </w:t>
      </w:r>
      <w:r w:rsidR="005B0C9A" w:rsidRPr="00056799">
        <w:rPr>
          <w:rFonts w:ascii="Arial" w:hAnsi="Arial" w:cs="Arial"/>
        </w:rPr>
        <w:t>23,</w:t>
      </w:r>
      <w:r w:rsidR="00C26777">
        <w:rPr>
          <w:rFonts w:ascii="Arial" w:hAnsi="Arial" w:cs="Arial"/>
        </w:rPr>
        <w:t xml:space="preserve"> </w:t>
      </w:r>
      <w:r w:rsidR="005B0C9A" w:rsidRPr="00056799">
        <w:rPr>
          <w:rFonts w:ascii="Arial" w:hAnsi="Arial" w:cs="Arial"/>
        </w:rPr>
        <w:t>24,</w:t>
      </w:r>
      <w:r w:rsidR="00C26777">
        <w:rPr>
          <w:rFonts w:ascii="Arial" w:hAnsi="Arial" w:cs="Arial"/>
        </w:rPr>
        <w:t xml:space="preserve"> </w:t>
      </w:r>
      <w:r w:rsidR="005B0C9A" w:rsidRPr="00056799">
        <w:rPr>
          <w:rFonts w:ascii="Arial" w:hAnsi="Arial" w:cs="Arial"/>
        </w:rPr>
        <w:t>25 subject to the comments within this section.</w:t>
      </w:r>
    </w:p>
    <w:p w14:paraId="70AF17EC" w14:textId="77777777" w:rsidR="001D56F9" w:rsidRDefault="001D56F9" w:rsidP="004367B0">
      <w:pPr>
        <w:tabs>
          <w:tab w:val="left" w:pos="1490"/>
        </w:tabs>
        <w:ind w:left="360" w:hanging="360"/>
        <w:jc w:val="both"/>
        <w:rPr>
          <w:rFonts w:ascii="Arial" w:hAnsi="Arial" w:cs="Arial"/>
          <w:color w:val="005B9A" w:themeColor="accent1"/>
        </w:rPr>
      </w:pPr>
    </w:p>
    <w:p w14:paraId="76F6F46D" w14:textId="77777777" w:rsidR="001D56F9" w:rsidRDefault="001D56F9" w:rsidP="004367B0">
      <w:pPr>
        <w:tabs>
          <w:tab w:val="left" w:pos="1490"/>
        </w:tabs>
        <w:ind w:left="360" w:hanging="360"/>
        <w:jc w:val="both"/>
        <w:rPr>
          <w:rFonts w:ascii="Arial" w:hAnsi="Arial" w:cs="Arial"/>
          <w:color w:val="005B9A" w:themeColor="accent1"/>
        </w:rPr>
      </w:pPr>
    </w:p>
    <w:p w14:paraId="6CDC2D0E" w14:textId="3E73987F" w:rsidR="00B07A54" w:rsidRPr="00826D39" w:rsidRDefault="00B07A54" w:rsidP="00B07A54">
      <w:pPr>
        <w:pBdr>
          <w:bottom w:val="single" w:sz="12" w:space="1" w:color="005B9A" w:themeColor="accent1"/>
        </w:pBdr>
        <w:tabs>
          <w:tab w:val="left" w:pos="1490"/>
        </w:tabs>
        <w:ind w:left="360" w:hanging="360"/>
        <w:jc w:val="both"/>
        <w:rPr>
          <w:rFonts w:ascii="Arial" w:hAnsi="Arial" w:cs="Arial"/>
        </w:rPr>
      </w:pPr>
      <w:r w:rsidRPr="007B5582">
        <w:rPr>
          <w:rFonts w:ascii="Arial" w:hAnsi="Arial" w:cs="Arial"/>
          <w:color w:val="005B9A" w:themeColor="accent1"/>
          <w:sz w:val="28"/>
          <w:szCs w:val="28"/>
        </w:rPr>
        <w:t>Volunteers</w:t>
      </w:r>
      <w:r w:rsidRPr="0027602E">
        <w:rPr>
          <w:rFonts w:ascii="Arial" w:hAnsi="Arial" w:cs="Arial"/>
          <w:color w:val="005B9A" w:themeColor="accent1"/>
          <w:sz w:val="28"/>
          <w:szCs w:val="28"/>
        </w:rPr>
        <w:t xml:space="preserve"> Blake Review Recommendation </w:t>
      </w:r>
      <w:r>
        <w:rPr>
          <w:rFonts w:ascii="Arial" w:hAnsi="Arial" w:cs="Arial"/>
          <w:color w:val="005B9A" w:themeColor="accent1"/>
          <w:sz w:val="28"/>
          <w:szCs w:val="28"/>
        </w:rPr>
        <w:t>26</w:t>
      </w:r>
      <w:r w:rsidRPr="0027602E">
        <w:rPr>
          <w:rFonts w:ascii="Arial" w:hAnsi="Arial" w:cs="Arial"/>
          <w:color w:val="005B9A" w:themeColor="accent1"/>
          <w:sz w:val="28"/>
          <w:szCs w:val="28"/>
        </w:rPr>
        <w:t xml:space="preserve"> </w:t>
      </w:r>
    </w:p>
    <w:p w14:paraId="11C0EC21" w14:textId="77777777" w:rsidR="001D56F9" w:rsidRPr="00056799" w:rsidRDefault="001D56F9" w:rsidP="001D56F9">
      <w:pPr>
        <w:tabs>
          <w:tab w:val="left" w:pos="1490"/>
        </w:tabs>
        <w:jc w:val="both"/>
        <w:rPr>
          <w:rFonts w:ascii="Arial" w:hAnsi="Arial" w:cs="Arial"/>
        </w:rPr>
      </w:pPr>
      <w:r w:rsidRPr="00056799">
        <w:rPr>
          <w:rFonts w:ascii="Arial" w:hAnsi="Arial" w:cs="Arial"/>
        </w:rPr>
        <w:t>Recommendation 26 – recognize and enshrine in legislation the contribution of volunteers and develop a volunteer charter to be endorsed by the volunteer associations and the Minister.  Provide good faith legislation from liability for TFES volunteers and ensure there are no barriers to volunteer’s role for both response and non-response roles.</w:t>
      </w:r>
    </w:p>
    <w:p w14:paraId="312F7818" w14:textId="77777777" w:rsidR="001D56F9" w:rsidRPr="00056799" w:rsidRDefault="001D56F9" w:rsidP="001D56F9">
      <w:pPr>
        <w:tabs>
          <w:tab w:val="left" w:pos="1490"/>
        </w:tabs>
        <w:jc w:val="both"/>
        <w:rPr>
          <w:rFonts w:ascii="Arial" w:hAnsi="Arial" w:cs="Arial"/>
        </w:rPr>
      </w:pPr>
      <w:r w:rsidRPr="00056799">
        <w:rPr>
          <w:rFonts w:ascii="Arial" w:hAnsi="Arial" w:cs="Arial"/>
        </w:rPr>
        <w:t>There was support for these propositions from a number of submissions with no contrary views expressed.  Given the importance of volunteers in both the TFS and SES it is important that the new FSA reflects their importance.  An agreed charter will also assist in demonstrating Government’s commitment to volunteers.  Similarly good faith legislation to indemnify volunteers is a strong demonstration from government about the importance of volunteers and volunteering.  There is no practical difference between response and non-response roles for volunteers in terms of delivery or effect so should be supported.</w:t>
      </w:r>
    </w:p>
    <w:p w14:paraId="051EFCDA" w14:textId="73BCEDD8" w:rsidR="001D56F9" w:rsidRDefault="001D56F9" w:rsidP="001D56F9">
      <w:pPr>
        <w:tabs>
          <w:tab w:val="left" w:pos="1490"/>
        </w:tabs>
        <w:jc w:val="both"/>
        <w:rPr>
          <w:rFonts w:ascii="Arial" w:hAnsi="Arial" w:cs="Arial"/>
          <w:sz w:val="22"/>
          <w:szCs w:val="22"/>
        </w:rPr>
      </w:pPr>
    </w:p>
    <w:p w14:paraId="31FD7114" w14:textId="62E7DE9C" w:rsidR="00346F95" w:rsidRDefault="00346F95" w:rsidP="001D56F9">
      <w:pPr>
        <w:tabs>
          <w:tab w:val="left" w:pos="1490"/>
        </w:tabs>
        <w:jc w:val="both"/>
        <w:rPr>
          <w:rFonts w:ascii="Arial" w:hAnsi="Arial" w:cs="Arial"/>
          <w:sz w:val="22"/>
          <w:szCs w:val="22"/>
        </w:rPr>
      </w:pPr>
    </w:p>
    <w:p w14:paraId="7453F869" w14:textId="546DCA01" w:rsidR="00346F95" w:rsidRDefault="00346F95" w:rsidP="001D56F9">
      <w:pPr>
        <w:tabs>
          <w:tab w:val="left" w:pos="1490"/>
        </w:tabs>
        <w:jc w:val="both"/>
        <w:rPr>
          <w:rFonts w:ascii="Arial" w:hAnsi="Arial" w:cs="Arial"/>
          <w:sz w:val="22"/>
          <w:szCs w:val="22"/>
        </w:rPr>
      </w:pPr>
    </w:p>
    <w:p w14:paraId="12EB7DEE" w14:textId="77777777" w:rsidR="00346F95" w:rsidRPr="00B61C40" w:rsidRDefault="00346F95" w:rsidP="001D56F9">
      <w:pPr>
        <w:tabs>
          <w:tab w:val="left" w:pos="1490"/>
        </w:tabs>
        <w:jc w:val="both"/>
        <w:rPr>
          <w:rFonts w:ascii="Arial" w:hAnsi="Arial" w:cs="Arial"/>
          <w:sz w:val="22"/>
          <w:szCs w:val="22"/>
        </w:rPr>
      </w:pPr>
    </w:p>
    <w:p w14:paraId="6816D2F3" w14:textId="77777777" w:rsidR="005B6EBC" w:rsidRPr="00816086" w:rsidRDefault="005B6EBC" w:rsidP="005B6EBC">
      <w:pPr>
        <w:pBdr>
          <w:bottom w:val="single" w:sz="12" w:space="1" w:color="005B9A" w:themeColor="accent1"/>
        </w:pBdr>
        <w:tabs>
          <w:tab w:val="left" w:pos="1490"/>
        </w:tabs>
        <w:ind w:left="360" w:hanging="360"/>
        <w:jc w:val="both"/>
        <w:rPr>
          <w:rFonts w:ascii="Arial" w:hAnsi="Arial" w:cs="Arial"/>
          <w:sz w:val="28"/>
          <w:szCs w:val="28"/>
        </w:rPr>
      </w:pPr>
      <w:r w:rsidRPr="00816086">
        <w:rPr>
          <w:rFonts w:ascii="Arial" w:hAnsi="Arial" w:cs="Arial"/>
          <w:color w:val="005B9A" w:themeColor="accent1"/>
          <w:sz w:val="28"/>
          <w:szCs w:val="28"/>
        </w:rPr>
        <w:lastRenderedPageBreak/>
        <w:t xml:space="preserve">Operational and Other Matters Blake Review Recommendations 27- 45   </w:t>
      </w:r>
    </w:p>
    <w:p w14:paraId="4EA7A0EC" w14:textId="77777777" w:rsidR="005B6EBC" w:rsidRPr="007B5582" w:rsidRDefault="005B6EBC" w:rsidP="005B6EBC">
      <w:pPr>
        <w:tabs>
          <w:tab w:val="left" w:pos="1490"/>
        </w:tabs>
        <w:jc w:val="both"/>
        <w:rPr>
          <w:rFonts w:ascii="Arial" w:hAnsi="Arial" w:cs="Arial"/>
          <w:color w:val="005B9A" w:themeColor="accent1"/>
        </w:rPr>
      </w:pPr>
      <w:r w:rsidRPr="007B5582">
        <w:rPr>
          <w:rFonts w:ascii="Arial" w:hAnsi="Arial" w:cs="Arial"/>
          <w:color w:val="005B9A" w:themeColor="accent1"/>
        </w:rPr>
        <w:t xml:space="preserve">Bushfire Mitigations Measures </w:t>
      </w:r>
    </w:p>
    <w:p w14:paraId="0FD5661D" w14:textId="77777777" w:rsidR="005B6EBC" w:rsidRPr="00056799" w:rsidRDefault="005B6EBC" w:rsidP="005B6EBC">
      <w:pPr>
        <w:spacing w:before="0"/>
        <w:jc w:val="both"/>
        <w:textAlignment w:val="baseline"/>
        <w:rPr>
          <w:rFonts w:ascii="Arial" w:hAnsi="Arial" w:cs="Arial"/>
          <w:color w:val="091B35"/>
          <w:shd w:val="clear" w:color="auto" w:fill="FFFFFF"/>
        </w:rPr>
      </w:pPr>
      <w:r w:rsidRPr="00056799">
        <w:rPr>
          <w:rFonts w:ascii="Arial" w:hAnsi="Arial" w:cs="Arial"/>
          <w:color w:val="091B35"/>
          <w:shd w:val="clear" w:color="auto" w:fill="FFFFFF"/>
        </w:rPr>
        <w:t>As part of the Government’s commitment to enhance Tasmania’s bushfire preparedness, the Tasmanian Government proposed in 2020 to introduce a new legislative framework to support bushfire mitigation in Tasmania. This was in the form of a Bushfire Mitigation Measures Bill.</w:t>
      </w:r>
    </w:p>
    <w:p w14:paraId="08BB1AFD" w14:textId="77777777" w:rsidR="005B6EBC" w:rsidRPr="00056799" w:rsidRDefault="005B6EBC" w:rsidP="005B6EBC">
      <w:pPr>
        <w:spacing w:before="0"/>
        <w:jc w:val="both"/>
        <w:textAlignment w:val="baseline"/>
        <w:rPr>
          <w:rFonts w:ascii="Arial" w:hAnsi="Arial" w:cs="Arial"/>
          <w:color w:val="091B35"/>
          <w:shd w:val="clear" w:color="auto" w:fill="FFFFFF"/>
        </w:rPr>
      </w:pPr>
      <w:r>
        <w:rPr>
          <w:rFonts w:ascii="Arial" w:hAnsi="Arial" w:cs="Arial"/>
          <w:color w:val="091B35"/>
          <w:shd w:val="clear" w:color="auto" w:fill="FFFFFF"/>
        </w:rPr>
        <w:t xml:space="preserve">The aim of the Bill was to </w:t>
      </w:r>
      <w:r w:rsidRPr="00056799">
        <w:rPr>
          <w:rFonts w:ascii="Arial" w:hAnsi="Arial" w:cs="Arial"/>
          <w:color w:val="091B35"/>
          <w:shd w:val="clear" w:color="auto" w:fill="FFFFFF"/>
        </w:rPr>
        <w:t>:-</w:t>
      </w:r>
    </w:p>
    <w:p w14:paraId="0D071515" w14:textId="77777777" w:rsidR="005B6EBC" w:rsidRPr="00056799" w:rsidRDefault="005B6EBC" w:rsidP="005B6EBC">
      <w:pPr>
        <w:spacing w:before="0"/>
        <w:jc w:val="both"/>
        <w:textAlignment w:val="baseline"/>
        <w:rPr>
          <w:rFonts w:ascii="Arial" w:eastAsia="Times New Roman" w:hAnsi="Arial" w:cs="Arial"/>
          <w:color w:val="333333"/>
        </w:rPr>
      </w:pPr>
      <w:r w:rsidRPr="007B5582">
        <w:rPr>
          <w:rFonts w:ascii="Arial" w:eastAsia="Times New Roman" w:hAnsi="Arial" w:cs="Arial"/>
          <w:color w:val="333333"/>
          <w:bdr w:val="none" w:sz="0" w:space="0" w:color="auto" w:frame="1"/>
        </w:rPr>
        <w:t>Reinforce the duty of public and private land owners and occupiers to proactively manage bushfire risks on land they own or control</w:t>
      </w:r>
      <w:r w:rsidRPr="00056799">
        <w:rPr>
          <w:rFonts w:ascii="Arial" w:eastAsia="Times New Roman" w:hAnsi="Arial" w:cs="Arial"/>
          <w:color w:val="333333"/>
        </w:rPr>
        <w:t> – because all Tasmanians have a role to play in protecting lives, properties and Tasmania’s natural and cultural heritage from bushfire.</w:t>
      </w:r>
    </w:p>
    <w:p w14:paraId="63C090CE" w14:textId="77777777" w:rsidR="005B6EBC" w:rsidRPr="00056799" w:rsidRDefault="005B6EBC" w:rsidP="005B6EBC">
      <w:pPr>
        <w:spacing w:before="0"/>
        <w:jc w:val="both"/>
        <w:textAlignment w:val="baseline"/>
        <w:rPr>
          <w:rFonts w:ascii="Arial" w:eastAsia="Times New Roman" w:hAnsi="Arial" w:cs="Arial"/>
          <w:color w:val="333333"/>
        </w:rPr>
      </w:pPr>
      <w:r w:rsidRPr="007B5582">
        <w:rPr>
          <w:rFonts w:ascii="Arial" w:eastAsia="Times New Roman" w:hAnsi="Arial" w:cs="Arial"/>
          <w:color w:val="333333"/>
          <w:bdr w:val="none" w:sz="0" w:space="0" w:color="auto" w:frame="1"/>
        </w:rPr>
        <w:t>Provide for the establishment of a Bushfire Mitigation Measures (BMM) Panel</w:t>
      </w:r>
      <w:r w:rsidRPr="00056799">
        <w:rPr>
          <w:rFonts w:ascii="Arial" w:eastAsia="Times New Roman" w:hAnsi="Arial" w:cs="Arial"/>
          <w:b/>
          <w:bCs/>
          <w:color w:val="333333"/>
          <w:bdr w:val="none" w:sz="0" w:space="0" w:color="auto" w:frame="1"/>
        </w:rPr>
        <w:t> </w:t>
      </w:r>
      <w:r w:rsidRPr="00056799">
        <w:rPr>
          <w:rFonts w:ascii="Arial" w:eastAsia="Times New Roman" w:hAnsi="Arial" w:cs="Arial"/>
          <w:color w:val="333333"/>
        </w:rPr>
        <w:t>- with representation from the Tasmanian Government, the Environment Protection Authority, the Local Government Association of Tasmania, and an independent expert member, to ensure a range of perspectives and expertise are utilized when considering applications for the approval of Bushfire Mitigation Plans.</w:t>
      </w:r>
    </w:p>
    <w:p w14:paraId="6D80284B" w14:textId="77777777" w:rsidR="005B6EBC" w:rsidRPr="00056799" w:rsidRDefault="005B6EBC" w:rsidP="005B6EBC">
      <w:pPr>
        <w:spacing w:before="0"/>
        <w:jc w:val="both"/>
        <w:textAlignment w:val="baseline"/>
        <w:rPr>
          <w:rFonts w:ascii="Arial" w:eastAsia="Times New Roman" w:hAnsi="Arial" w:cs="Arial"/>
          <w:color w:val="333333"/>
        </w:rPr>
      </w:pPr>
      <w:r w:rsidRPr="007B5582">
        <w:rPr>
          <w:rFonts w:ascii="Arial" w:eastAsia="Times New Roman" w:hAnsi="Arial" w:cs="Arial"/>
          <w:color w:val="333333"/>
          <w:bdr w:val="none" w:sz="0" w:space="0" w:color="auto" w:frame="1"/>
        </w:rPr>
        <w:t>Streamline the Bushfire Mitigation Plan (BMP) approval process</w:t>
      </w:r>
      <w:r w:rsidRPr="00056799">
        <w:rPr>
          <w:rFonts w:ascii="Arial" w:eastAsia="Times New Roman" w:hAnsi="Arial" w:cs="Arial"/>
          <w:color w:val="333333"/>
        </w:rPr>
        <w:t> - by creating a ‘one stop’ approval process through which landowners and occupiers can submit approval for a BMP to the newly established BMM Panel. The BMM Panel’s approval of a BMP will remove the need for separate approval processes that may apply under other Tasmanian legislation.</w:t>
      </w:r>
    </w:p>
    <w:p w14:paraId="6896AFF1" w14:textId="77777777" w:rsidR="005B6EBC" w:rsidRPr="00056799" w:rsidRDefault="005B6EBC" w:rsidP="005B6EBC">
      <w:pPr>
        <w:spacing w:before="0"/>
        <w:jc w:val="both"/>
        <w:textAlignment w:val="baseline"/>
        <w:rPr>
          <w:rFonts w:ascii="Arial" w:eastAsia="Times New Roman" w:hAnsi="Arial" w:cs="Arial"/>
          <w:color w:val="333333"/>
        </w:rPr>
      </w:pPr>
      <w:r w:rsidRPr="007B5582">
        <w:rPr>
          <w:rFonts w:ascii="Arial" w:eastAsia="Times New Roman" w:hAnsi="Arial" w:cs="Arial"/>
          <w:color w:val="333333"/>
          <w:bdr w:val="none" w:sz="0" w:space="0" w:color="auto" w:frame="1"/>
        </w:rPr>
        <w:t>Consolidate the framework for bushfire hazard reduction notices</w:t>
      </w:r>
      <w:r w:rsidRPr="00056799">
        <w:rPr>
          <w:rFonts w:ascii="Arial" w:eastAsia="Times New Roman" w:hAnsi="Arial" w:cs="Arial"/>
          <w:color w:val="333333"/>
        </w:rPr>
        <w:t> - to empower the Tasmania Fire Service to issue a bushfire hazard reduction notice to an occupier of land requiring reduction of bushfire dangers and removal of bushfire hazards or the mitigation of bushfire risks.</w:t>
      </w:r>
    </w:p>
    <w:p w14:paraId="77E8A390" w14:textId="77777777" w:rsidR="005B6EBC" w:rsidRPr="00056799" w:rsidRDefault="005B6EBC" w:rsidP="005B6EBC">
      <w:pPr>
        <w:spacing w:before="0"/>
        <w:jc w:val="both"/>
        <w:textAlignment w:val="baseline"/>
        <w:rPr>
          <w:rFonts w:ascii="Arial" w:eastAsia="Times New Roman" w:hAnsi="Arial" w:cs="Arial"/>
          <w:color w:val="333333"/>
        </w:rPr>
      </w:pPr>
      <w:r w:rsidRPr="00056799">
        <w:rPr>
          <w:rFonts w:ascii="Arial" w:eastAsia="Times New Roman" w:hAnsi="Arial" w:cs="Arial"/>
          <w:color w:val="333333"/>
        </w:rPr>
        <w:t>There was a public submission period that closed in October 2020.</w:t>
      </w:r>
    </w:p>
    <w:p w14:paraId="32D7C48C" w14:textId="77777777" w:rsidR="005B6EBC" w:rsidRPr="00056799" w:rsidRDefault="005B6EBC" w:rsidP="005B6EBC">
      <w:pPr>
        <w:spacing w:before="0"/>
        <w:jc w:val="both"/>
        <w:textAlignment w:val="baseline"/>
        <w:rPr>
          <w:rFonts w:ascii="Arial" w:eastAsia="Times New Roman" w:hAnsi="Arial" w:cs="Arial"/>
          <w:color w:val="333333"/>
        </w:rPr>
      </w:pPr>
      <w:r w:rsidRPr="00056799">
        <w:rPr>
          <w:rFonts w:ascii="Arial" w:eastAsia="Times New Roman" w:hAnsi="Arial" w:cs="Arial"/>
          <w:color w:val="333333"/>
        </w:rPr>
        <w:t xml:space="preserve">The vast majority of </w:t>
      </w:r>
      <w:r>
        <w:rPr>
          <w:rFonts w:ascii="Arial" w:eastAsia="Times New Roman" w:hAnsi="Arial" w:cs="Arial"/>
          <w:color w:val="333333"/>
        </w:rPr>
        <w:t xml:space="preserve">stakeholder </w:t>
      </w:r>
      <w:r w:rsidRPr="00056799">
        <w:rPr>
          <w:rFonts w:ascii="Arial" w:eastAsia="Times New Roman" w:hAnsi="Arial" w:cs="Arial"/>
          <w:color w:val="333333"/>
        </w:rPr>
        <w:t>submissions opposed the Bill with many arguing for bushfire mitigation measures to be included in the then review of the Fire Service Act (Blake Review).  This was agreed to by the Government and the proposed Bill lapsed with no publication of any of the submissions.</w:t>
      </w:r>
    </w:p>
    <w:p w14:paraId="1A9C04CE" w14:textId="77777777" w:rsidR="005B6EBC" w:rsidRPr="00056799" w:rsidRDefault="005B6EBC" w:rsidP="005B6EBC">
      <w:pPr>
        <w:spacing w:before="0"/>
        <w:jc w:val="both"/>
        <w:textAlignment w:val="baseline"/>
        <w:rPr>
          <w:rFonts w:ascii="Arial" w:eastAsia="Times New Roman" w:hAnsi="Arial" w:cs="Arial"/>
          <w:color w:val="333333"/>
        </w:rPr>
      </w:pPr>
      <w:r w:rsidRPr="00056799">
        <w:rPr>
          <w:rFonts w:ascii="Arial" w:eastAsia="Times New Roman" w:hAnsi="Arial" w:cs="Arial"/>
          <w:color w:val="333333"/>
        </w:rPr>
        <w:t>No progress has occurred since that time.  It is assumed that the FSA review process will continue this process.</w:t>
      </w:r>
    </w:p>
    <w:p w14:paraId="6E71136C" w14:textId="77777777" w:rsidR="005B6EBC" w:rsidRPr="00056799" w:rsidRDefault="005B6EBC" w:rsidP="005B6EBC">
      <w:pPr>
        <w:spacing w:before="0"/>
        <w:jc w:val="both"/>
        <w:textAlignment w:val="baseline"/>
        <w:rPr>
          <w:rFonts w:ascii="Arial" w:eastAsia="Times New Roman" w:hAnsi="Arial" w:cs="Arial"/>
          <w:color w:val="333333"/>
        </w:rPr>
      </w:pPr>
      <w:r w:rsidRPr="00056799">
        <w:rPr>
          <w:rFonts w:ascii="Arial" w:eastAsia="Times New Roman" w:hAnsi="Arial" w:cs="Arial"/>
          <w:color w:val="333333"/>
        </w:rPr>
        <w:t>It is not clear which, if any, of the proposals are live at present.</w:t>
      </w:r>
    </w:p>
    <w:p w14:paraId="0303061B" w14:textId="5901DC90" w:rsidR="005B6EBC" w:rsidRPr="00056799" w:rsidRDefault="005B6EBC" w:rsidP="005B6EBC">
      <w:pPr>
        <w:spacing w:before="0"/>
        <w:jc w:val="both"/>
        <w:textAlignment w:val="baseline"/>
        <w:rPr>
          <w:rFonts w:ascii="Arial" w:eastAsia="Times New Roman" w:hAnsi="Arial" w:cs="Arial"/>
          <w:color w:val="333333"/>
        </w:rPr>
      </w:pPr>
      <w:r>
        <w:rPr>
          <w:rFonts w:ascii="Arial" w:eastAsia="Times New Roman" w:hAnsi="Arial" w:cs="Arial"/>
          <w:color w:val="333333"/>
        </w:rPr>
        <w:t xml:space="preserve">The </w:t>
      </w:r>
      <w:r w:rsidRPr="00056799">
        <w:rPr>
          <w:rFonts w:ascii="Arial" w:eastAsia="Times New Roman" w:hAnsi="Arial" w:cs="Arial"/>
          <w:color w:val="333333"/>
        </w:rPr>
        <w:t>SF</w:t>
      </w:r>
      <w:r w:rsidR="00B07A54">
        <w:rPr>
          <w:rFonts w:ascii="Arial" w:eastAsia="Times New Roman" w:hAnsi="Arial" w:cs="Arial"/>
          <w:color w:val="333333"/>
        </w:rPr>
        <w:t>M</w:t>
      </w:r>
      <w:r w:rsidRPr="00056799">
        <w:rPr>
          <w:rFonts w:ascii="Arial" w:eastAsia="Times New Roman" w:hAnsi="Arial" w:cs="Arial"/>
          <w:color w:val="333333"/>
        </w:rPr>
        <w:t>C in its submission and subsequently in face-to-face consultations argued that a number of solutions proposed in previous Bill were overkill and difficult to regulate and oversee.</w:t>
      </w:r>
    </w:p>
    <w:p w14:paraId="260DF4A1" w14:textId="6F4AC6B6" w:rsidR="005B6EBC" w:rsidRDefault="005B6EBC" w:rsidP="005B6EBC">
      <w:pPr>
        <w:spacing w:before="0"/>
        <w:jc w:val="both"/>
        <w:textAlignment w:val="baseline"/>
        <w:rPr>
          <w:rFonts w:ascii="Arial" w:eastAsia="Times New Roman" w:hAnsi="Arial" w:cs="Arial"/>
          <w:color w:val="333333"/>
        </w:rPr>
      </w:pPr>
      <w:r w:rsidRPr="00056799">
        <w:rPr>
          <w:rFonts w:ascii="Arial" w:eastAsia="Times New Roman" w:hAnsi="Arial" w:cs="Arial"/>
          <w:color w:val="333333"/>
        </w:rPr>
        <w:t>The</w:t>
      </w:r>
      <w:r>
        <w:rPr>
          <w:rFonts w:ascii="Arial" w:eastAsia="Times New Roman" w:hAnsi="Arial" w:cs="Arial"/>
          <w:color w:val="333333"/>
        </w:rPr>
        <w:t xml:space="preserve"> SF</w:t>
      </w:r>
      <w:r w:rsidR="00B07A54">
        <w:rPr>
          <w:rFonts w:ascii="Arial" w:eastAsia="Times New Roman" w:hAnsi="Arial" w:cs="Arial"/>
          <w:color w:val="333333"/>
        </w:rPr>
        <w:t>M</w:t>
      </w:r>
      <w:r>
        <w:rPr>
          <w:rFonts w:ascii="Arial" w:eastAsia="Times New Roman" w:hAnsi="Arial" w:cs="Arial"/>
          <w:color w:val="333333"/>
        </w:rPr>
        <w:t xml:space="preserve">C </w:t>
      </w:r>
      <w:r w:rsidRPr="00056799">
        <w:rPr>
          <w:rFonts w:ascii="Arial" w:eastAsia="Times New Roman" w:hAnsi="Arial" w:cs="Arial"/>
          <w:color w:val="333333"/>
        </w:rPr>
        <w:t>proposed that the expertise on what needed to de done including indemnities, balance of competing priorities and duties reside within SFMC and the TFS.</w:t>
      </w:r>
    </w:p>
    <w:p w14:paraId="22B61740" w14:textId="3EA6B1B7" w:rsidR="00346F95" w:rsidRDefault="00346F95" w:rsidP="005B6EBC">
      <w:pPr>
        <w:spacing w:before="0"/>
        <w:jc w:val="both"/>
        <w:textAlignment w:val="baseline"/>
        <w:rPr>
          <w:rFonts w:ascii="Arial" w:eastAsia="Times New Roman" w:hAnsi="Arial" w:cs="Arial"/>
          <w:color w:val="333333"/>
        </w:rPr>
      </w:pPr>
    </w:p>
    <w:p w14:paraId="1BFC8D8D" w14:textId="42CF2C6B" w:rsidR="00346F95" w:rsidRDefault="00346F95" w:rsidP="005B6EBC">
      <w:pPr>
        <w:spacing w:before="0"/>
        <w:jc w:val="both"/>
        <w:textAlignment w:val="baseline"/>
        <w:rPr>
          <w:rFonts w:ascii="Arial" w:eastAsia="Times New Roman" w:hAnsi="Arial" w:cs="Arial"/>
          <w:color w:val="333333"/>
        </w:rPr>
      </w:pPr>
    </w:p>
    <w:p w14:paraId="20E7E8AE" w14:textId="77777777" w:rsidR="00346F95" w:rsidRPr="00056799" w:rsidRDefault="00346F95" w:rsidP="005B6EBC">
      <w:pPr>
        <w:spacing w:before="0"/>
        <w:jc w:val="both"/>
        <w:textAlignment w:val="baseline"/>
        <w:rPr>
          <w:rFonts w:ascii="Arial" w:eastAsia="Times New Roman" w:hAnsi="Arial" w:cs="Arial"/>
          <w:color w:val="333333"/>
        </w:rPr>
      </w:pPr>
    </w:p>
    <w:p w14:paraId="006E8E86" w14:textId="1182A4AE" w:rsidR="005B6EBC" w:rsidRPr="00056799" w:rsidRDefault="005B6EBC" w:rsidP="005B6EBC">
      <w:pPr>
        <w:spacing w:before="0"/>
        <w:jc w:val="both"/>
        <w:textAlignment w:val="baseline"/>
        <w:rPr>
          <w:rFonts w:ascii="Arial" w:eastAsia="Times New Roman" w:hAnsi="Arial" w:cs="Arial"/>
          <w:color w:val="333333"/>
        </w:rPr>
      </w:pPr>
      <w:r w:rsidRPr="00056799">
        <w:rPr>
          <w:rFonts w:ascii="Arial" w:eastAsia="Times New Roman" w:hAnsi="Arial" w:cs="Arial"/>
          <w:color w:val="333333"/>
        </w:rPr>
        <w:lastRenderedPageBreak/>
        <w:t>They proposed a workshop with SF</w:t>
      </w:r>
      <w:r w:rsidR="00B07A54">
        <w:rPr>
          <w:rFonts w:ascii="Arial" w:eastAsia="Times New Roman" w:hAnsi="Arial" w:cs="Arial"/>
          <w:color w:val="333333"/>
        </w:rPr>
        <w:t>M</w:t>
      </w:r>
      <w:r w:rsidRPr="00056799">
        <w:rPr>
          <w:rFonts w:ascii="Arial" w:eastAsia="Times New Roman" w:hAnsi="Arial" w:cs="Arial"/>
          <w:color w:val="333333"/>
        </w:rPr>
        <w:t>C, Senior TFS Officers, Parks and Wildlife, STT and Local Government to determine what needs to be done and what needs to be legislated within the FSA.  This view was also endorsed by the TFS, Parks and Wildlife and STT.</w:t>
      </w:r>
    </w:p>
    <w:p w14:paraId="2C5E607B" w14:textId="77777777" w:rsidR="005B6EBC" w:rsidRPr="00056799" w:rsidRDefault="005B6EBC" w:rsidP="005B6EBC">
      <w:pPr>
        <w:spacing w:before="0"/>
        <w:jc w:val="both"/>
        <w:textAlignment w:val="baseline"/>
        <w:rPr>
          <w:rFonts w:ascii="Arial" w:eastAsia="Times New Roman" w:hAnsi="Arial" w:cs="Arial"/>
          <w:color w:val="333333"/>
        </w:rPr>
      </w:pPr>
      <w:r w:rsidRPr="00056799">
        <w:rPr>
          <w:rFonts w:ascii="Arial" w:eastAsia="Times New Roman" w:hAnsi="Arial" w:cs="Arial"/>
          <w:color w:val="333333"/>
        </w:rPr>
        <w:t>It is recommended that this workshop be conducted as a first step to determine the way forward.</w:t>
      </w:r>
    </w:p>
    <w:p w14:paraId="3BA81232" w14:textId="77777777" w:rsidR="005B6EBC" w:rsidRPr="00056799" w:rsidRDefault="005B6EBC" w:rsidP="005B6EBC">
      <w:pPr>
        <w:spacing w:before="0"/>
        <w:jc w:val="both"/>
        <w:textAlignment w:val="baseline"/>
        <w:rPr>
          <w:rFonts w:ascii="Arial" w:hAnsi="Arial" w:cs="Arial"/>
        </w:rPr>
      </w:pPr>
      <w:r w:rsidRPr="00056799">
        <w:rPr>
          <w:rFonts w:ascii="Arial" w:eastAsia="Times New Roman" w:hAnsi="Arial" w:cs="Arial"/>
          <w:color w:val="333333"/>
        </w:rPr>
        <w:t>In the submissions made to the Blake report the Northeast Bioregional Network outlined a number of concerns specifically dealing with the bushfire mitigation proposals.  They were strongly opposed to the measures suggested and put forward the contrary view that fire reduction burns were excessive and were damaging to the biodiversity of the Australian bush.  They believe that mitigation burns conducted in the northeast were damaging the native bush and tracks built to facilitate the burns was damaging to the environment.  They also expressed concern over the lack of representation on both the SFMC and the</w:t>
      </w:r>
      <w:r w:rsidRPr="00056799">
        <w:rPr>
          <w:rFonts w:ascii="Arial" w:hAnsi="Arial" w:cs="Arial"/>
        </w:rPr>
        <w:t xml:space="preserve"> various Fire</w:t>
      </w:r>
      <w:r w:rsidRPr="00056799">
        <w:rPr>
          <w:rFonts w:ascii="Arial" w:hAnsi="Arial" w:cs="Arial"/>
          <w:spacing w:val="1"/>
        </w:rPr>
        <w:t xml:space="preserve"> </w:t>
      </w:r>
      <w:r w:rsidRPr="00056799">
        <w:rPr>
          <w:rFonts w:ascii="Arial" w:hAnsi="Arial" w:cs="Arial"/>
        </w:rPr>
        <w:t xml:space="preserve">Management Area Committees (FMAC).  They had applied to be a member of these committees but were refused.  </w:t>
      </w:r>
    </w:p>
    <w:p w14:paraId="39CEE065" w14:textId="77777777" w:rsidR="005B6EBC" w:rsidRPr="00056799" w:rsidRDefault="005B6EBC" w:rsidP="005B6EBC">
      <w:pPr>
        <w:spacing w:before="0"/>
        <w:jc w:val="both"/>
        <w:textAlignment w:val="baseline"/>
        <w:rPr>
          <w:rFonts w:ascii="Arial" w:hAnsi="Arial" w:cs="Arial"/>
        </w:rPr>
      </w:pPr>
      <w:r w:rsidRPr="00056799">
        <w:rPr>
          <w:rFonts w:ascii="Arial" w:hAnsi="Arial" w:cs="Arial"/>
        </w:rPr>
        <w:t>It is a fair point that there is no representation on these committees to ensure that conservation values are assessed and maintained.  This should form part of the suggested workshop on Bushfire mitigation measures with representation on the various committees to be a discussion point.</w:t>
      </w:r>
    </w:p>
    <w:p w14:paraId="508344C7" w14:textId="77777777" w:rsidR="005B6EBC" w:rsidRPr="00056799" w:rsidRDefault="005B6EBC" w:rsidP="005B6EBC">
      <w:pPr>
        <w:autoSpaceDE w:val="0"/>
        <w:autoSpaceDN w:val="0"/>
        <w:adjustRightInd w:val="0"/>
        <w:spacing w:before="0"/>
        <w:jc w:val="both"/>
        <w:rPr>
          <w:rFonts w:ascii="Arial" w:hAnsi="Arial" w:cs="Arial"/>
        </w:rPr>
      </w:pPr>
      <w:r w:rsidRPr="00056799">
        <w:rPr>
          <w:rFonts w:ascii="Arial" w:hAnsi="Arial" w:cs="Arial"/>
        </w:rPr>
        <w:t xml:space="preserve">There was a submission from Professor David Bowman Professor of Pyrogeography and Fire Science Director of the Fire Centre Research Hub - University of Tasmania.  He expressed concern over the lack over fuel and management and coordination of strategies.  He believes that the expertise residing at the University and Government Departments should be utilized within a hub and spoke model </w:t>
      </w:r>
      <w:r>
        <w:rPr>
          <w:rFonts w:ascii="Arial" w:hAnsi="Arial" w:cs="Arial"/>
        </w:rPr>
        <w:t xml:space="preserve">. </w:t>
      </w:r>
      <w:r w:rsidRPr="00056799">
        <w:rPr>
          <w:rFonts w:ascii="Arial" w:hAnsi="Arial" w:cs="Arial"/>
        </w:rPr>
        <w:t>He also argues for a standalone fuel management entity with its own legislation.  The idea for a dedicated fuel reduction unit was also put forward by a collective of Bothwell farmers after the Bothwell fire in 2016.  The proposal was for a dedicated unit of four people with a budget to undertake selective fuel reduction burns and to provide advice and guidance for private land owners proposing to conduct fuel reduction burns. These ideas should be considered by TFES when developing their strategies for fuel reduction burns.</w:t>
      </w:r>
    </w:p>
    <w:p w14:paraId="56F26813" w14:textId="77777777" w:rsidR="005B6EBC" w:rsidRPr="00056799" w:rsidRDefault="005B6EBC" w:rsidP="005B6EBC">
      <w:pPr>
        <w:autoSpaceDE w:val="0"/>
        <w:autoSpaceDN w:val="0"/>
        <w:adjustRightInd w:val="0"/>
        <w:spacing w:before="0"/>
        <w:jc w:val="both"/>
        <w:rPr>
          <w:rFonts w:ascii="Arial" w:eastAsia="Times New Roman" w:hAnsi="Arial" w:cs="Arial"/>
          <w:color w:val="333333"/>
        </w:rPr>
      </w:pPr>
      <w:r w:rsidRPr="00056799">
        <w:rPr>
          <w:rFonts w:ascii="Arial" w:hAnsi="Arial" w:cs="Arial"/>
        </w:rPr>
        <w:t>Other submissions expressed concern over the ability of private landowners to be involved with the development and execution of fire reduction strategies.</w:t>
      </w:r>
    </w:p>
    <w:p w14:paraId="2C8F7C51"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Recommendation 30 – leave decision making and nomination processes to appoint fire permit officers to the senior management of the relevant responsible agency.</w:t>
      </w:r>
    </w:p>
    <w:p w14:paraId="17A0F9FB"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This is supported in the submission from SFMC.</w:t>
      </w:r>
    </w:p>
    <w:p w14:paraId="15A2E1C3" w14:textId="7BD60C96" w:rsidR="005B6EBC" w:rsidRDefault="005B6EBC" w:rsidP="005B6EBC">
      <w:pPr>
        <w:tabs>
          <w:tab w:val="left" w:pos="1490"/>
        </w:tabs>
        <w:spacing w:before="0"/>
        <w:jc w:val="both"/>
        <w:rPr>
          <w:rFonts w:ascii="Arial" w:hAnsi="Arial" w:cs="Arial"/>
        </w:rPr>
      </w:pPr>
      <w:r w:rsidRPr="00056799">
        <w:rPr>
          <w:rFonts w:ascii="Arial" w:hAnsi="Arial" w:cs="Arial"/>
        </w:rPr>
        <w:t>Currently SF</w:t>
      </w:r>
      <w:r w:rsidR="00BF64F0">
        <w:rPr>
          <w:rFonts w:ascii="Arial" w:hAnsi="Arial" w:cs="Arial"/>
        </w:rPr>
        <w:t>M</w:t>
      </w:r>
      <w:r w:rsidRPr="00056799">
        <w:rPr>
          <w:rFonts w:ascii="Arial" w:hAnsi="Arial" w:cs="Arial"/>
        </w:rPr>
        <w:t>C has the power to appoint permit officers, the recommendation is to replace this with appointments as permit officers to be exercised by the relevant agency (TFES, Parks and Wildlife, STT). This means appointments will be made in a timely and appropriate manner. This recommendation should be supported.</w:t>
      </w:r>
    </w:p>
    <w:p w14:paraId="5DADCB3B" w14:textId="6F5A7045" w:rsidR="00346F95" w:rsidRDefault="00346F95" w:rsidP="005B6EBC">
      <w:pPr>
        <w:tabs>
          <w:tab w:val="left" w:pos="1490"/>
        </w:tabs>
        <w:spacing w:before="0"/>
        <w:jc w:val="both"/>
        <w:rPr>
          <w:rFonts w:ascii="Arial" w:hAnsi="Arial" w:cs="Arial"/>
        </w:rPr>
      </w:pPr>
    </w:p>
    <w:p w14:paraId="7B91FF19" w14:textId="2AF461FC" w:rsidR="00346F95" w:rsidRDefault="00346F95" w:rsidP="005B6EBC">
      <w:pPr>
        <w:tabs>
          <w:tab w:val="left" w:pos="1490"/>
        </w:tabs>
        <w:spacing w:before="0"/>
        <w:jc w:val="both"/>
        <w:rPr>
          <w:rFonts w:ascii="Arial" w:hAnsi="Arial" w:cs="Arial"/>
        </w:rPr>
      </w:pPr>
    </w:p>
    <w:p w14:paraId="7C5FDCC8" w14:textId="04A5D581" w:rsidR="00346F95" w:rsidRDefault="00346F95" w:rsidP="005B6EBC">
      <w:pPr>
        <w:tabs>
          <w:tab w:val="left" w:pos="1490"/>
        </w:tabs>
        <w:spacing w:before="0"/>
        <w:jc w:val="both"/>
        <w:rPr>
          <w:rFonts w:ascii="Arial" w:hAnsi="Arial" w:cs="Arial"/>
        </w:rPr>
      </w:pPr>
    </w:p>
    <w:p w14:paraId="7BE87F97" w14:textId="2173C7E2" w:rsidR="00346F95" w:rsidRDefault="00346F95" w:rsidP="005B6EBC">
      <w:pPr>
        <w:tabs>
          <w:tab w:val="left" w:pos="1490"/>
        </w:tabs>
        <w:spacing w:before="0"/>
        <w:jc w:val="both"/>
        <w:rPr>
          <w:rFonts w:ascii="Arial" w:hAnsi="Arial" w:cs="Arial"/>
        </w:rPr>
      </w:pPr>
    </w:p>
    <w:p w14:paraId="71C7DEAC" w14:textId="77777777" w:rsidR="00346F95" w:rsidRPr="00056799" w:rsidRDefault="00346F95" w:rsidP="005B6EBC">
      <w:pPr>
        <w:tabs>
          <w:tab w:val="left" w:pos="1490"/>
        </w:tabs>
        <w:spacing w:before="0"/>
        <w:jc w:val="both"/>
        <w:rPr>
          <w:rFonts w:ascii="Arial" w:hAnsi="Arial" w:cs="Arial"/>
        </w:rPr>
      </w:pPr>
    </w:p>
    <w:p w14:paraId="24BBA592"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lastRenderedPageBreak/>
        <w:t>Recommendation 31 – establish Fire and Emergency Risk Area Committees (FERAC) including determining the number and geographical placement of these committees.  Enhance community representation on the FERACs without increasing numbers and remove the requirement to Gazette geographical boundaries.  Identify synergies between FERACs and Municipal Emergency Management Committees. All of these recommendations be promulgated under a Head of Power and contained in the Tasmanian Emergency Management Arrangements (TEMA).</w:t>
      </w:r>
    </w:p>
    <w:p w14:paraId="4DCBA090"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This recommendation should be supported and in the first instance referred to the workshop suggested in this section for consideration and implementation advice.  The overall responsibility for FERACs will reside with the SFC.</w:t>
      </w:r>
    </w:p>
    <w:p w14:paraId="17DB9BF1" w14:textId="77777777" w:rsidR="005B6EBC" w:rsidRDefault="005B6EBC" w:rsidP="005B6EBC">
      <w:pPr>
        <w:tabs>
          <w:tab w:val="left" w:pos="1490"/>
        </w:tabs>
        <w:spacing w:before="0"/>
        <w:jc w:val="both"/>
        <w:rPr>
          <w:rFonts w:ascii="Arial" w:hAnsi="Arial" w:cs="Arial"/>
          <w:color w:val="005B9A" w:themeColor="accent1"/>
        </w:rPr>
      </w:pPr>
    </w:p>
    <w:p w14:paraId="5EFA280B" w14:textId="77777777" w:rsidR="005B6EBC" w:rsidRPr="00826D39" w:rsidRDefault="005B6EBC" w:rsidP="005B6EBC">
      <w:pPr>
        <w:tabs>
          <w:tab w:val="left" w:pos="1490"/>
        </w:tabs>
        <w:spacing w:before="0"/>
        <w:jc w:val="both"/>
        <w:rPr>
          <w:rFonts w:ascii="Arial" w:hAnsi="Arial" w:cs="Arial"/>
          <w:color w:val="005B9A" w:themeColor="accent1"/>
        </w:rPr>
      </w:pPr>
      <w:r w:rsidRPr="00826D39">
        <w:rPr>
          <w:rFonts w:ascii="Arial" w:hAnsi="Arial" w:cs="Arial"/>
          <w:color w:val="005B9A" w:themeColor="accent1"/>
        </w:rPr>
        <w:t xml:space="preserve">Other Operational Matters </w:t>
      </w:r>
    </w:p>
    <w:p w14:paraId="3DDF1061" w14:textId="77777777" w:rsidR="005B6EBC" w:rsidRPr="00816086" w:rsidRDefault="005B6EBC" w:rsidP="005B6EBC">
      <w:pPr>
        <w:tabs>
          <w:tab w:val="left" w:pos="1490"/>
        </w:tabs>
        <w:spacing w:before="0"/>
        <w:jc w:val="both"/>
        <w:rPr>
          <w:rFonts w:ascii="Arial" w:hAnsi="Arial" w:cs="Arial"/>
          <w:i/>
          <w:iCs/>
        </w:rPr>
      </w:pPr>
      <w:r w:rsidRPr="00816086">
        <w:rPr>
          <w:rFonts w:ascii="Arial" w:hAnsi="Arial" w:cs="Arial"/>
          <w:i/>
          <w:iCs/>
        </w:rPr>
        <w:t xml:space="preserve">Fire Permits </w:t>
      </w:r>
    </w:p>
    <w:p w14:paraId="31841FAC"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Recommendation 34 – include recommendations from the review of the fire permit system in the legislation including total fire ban arrangements.  Ensure legislation has flexibility to allow changes if required.  Ensure that no fire permits are issued when total fire bans in place apart from exemptions granted by the Chief Officer.</w:t>
      </w:r>
    </w:p>
    <w:p w14:paraId="34BFD96F"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 xml:space="preserve">The submission from SFMC supported these recommendations and given they were subject to a public consultation process, and they adopt current best practice this should be supported. </w:t>
      </w:r>
    </w:p>
    <w:p w14:paraId="3F0549E5"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In the first instance this recommendation should be referred to the workshop for discussion and for advice to be provided to the Minister on adopting this recommendation.</w:t>
      </w:r>
    </w:p>
    <w:p w14:paraId="48F0B679"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 xml:space="preserve">It is important to note that there have been no public statements on the cessation of the separate Bushfire Mitigation Bill and its content being dealt with in the review of the FSA. There is no information on the website and no public submissions have been published.  Concern over the lack of publication of submissions was mentioned in several submissions to the final Blake Review.  </w:t>
      </w:r>
    </w:p>
    <w:p w14:paraId="55952974"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 xml:space="preserve">It is recommended that a public consultation process be developed and undertaken once the outcomes of the workshop have been finalized and agreed.  If this recommendation is adopted then the Bushfire Mitigation Bill website should be updated to reflect this.   </w:t>
      </w:r>
    </w:p>
    <w:p w14:paraId="56643DC0" w14:textId="37B94734" w:rsidR="005B6EBC" w:rsidRPr="00056799" w:rsidRDefault="005B6EBC" w:rsidP="005B6EBC">
      <w:pPr>
        <w:tabs>
          <w:tab w:val="left" w:pos="1490"/>
        </w:tabs>
        <w:spacing w:before="0"/>
        <w:jc w:val="both"/>
        <w:rPr>
          <w:rFonts w:ascii="Arial" w:hAnsi="Arial" w:cs="Arial"/>
        </w:rPr>
      </w:pPr>
      <w:r w:rsidRPr="00056799">
        <w:rPr>
          <w:rFonts w:ascii="Arial" w:hAnsi="Arial" w:cs="Arial"/>
        </w:rPr>
        <w:t xml:space="preserve">In </w:t>
      </w:r>
      <w:r>
        <w:rPr>
          <w:rFonts w:ascii="Arial" w:hAnsi="Arial" w:cs="Arial"/>
        </w:rPr>
        <w:t>s</w:t>
      </w:r>
      <w:r w:rsidRPr="00056799">
        <w:rPr>
          <w:rFonts w:ascii="Arial" w:hAnsi="Arial" w:cs="Arial"/>
        </w:rPr>
        <w:t>ummary a</w:t>
      </w:r>
      <w:r w:rsidRPr="00056799">
        <w:rPr>
          <w:rFonts w:ascii="Arial" w:eastAsia="Times New Roman" w:hAnsi="Arial" w:cs="Arial"/>
          <w:color w:val="333333"/>
        </w:rPr>
        <w:t xml:space="preserve"> workshop with SF</w:t>
      </w:r>
      <w:r w:rsidR="00932B38">
        <w:rPr>
          <w:rFonts w:ascii="Arial" w:eastAsia="Times New Roman" w:hAnsi="Arial" w:cs="Arial"/>
          <w:color w:val="333333"/>
        </w:rPr>
        <w:t>M</w:t>
      </w:r>
      <w:r w:rsidRPr="00056799">
        <w:rPr>
          <w:rFonts w:ascii="Arial" w:eastAsia="Times New Roman" w:hAnsi="Arial" w:cs="Arial"/>
          <w:color w:val="333333"/>
        </w:rPr>
        <w:t>C, Senior TFS Officers, Parks and Wildlife, STT and Local Government be undertaken to determine what bushfire mitigation measures need to be developed and adopted and what needs to be legislated within the FSA.</w:t>
      </w:r>
    </w:p>
    <w:p w14:paraId="5EA1DD31" w14:textId="77777777" w:rsidR="005B6EBC" w:rsidRPr="00056799" w:rsidRDefault="005B6EBC" w:rsidP="005B6EBC">
      <w:pPr>
        <w:tabs>
          <w:tab w:val="left" w:pos="1490"/>
        </w:tabs>
        <w:spacing w:before="0"/>
        <w:jc w:val="both"/>
        <w:rPr>
          <w:rFonts w:ascii="Arial" w:hAnsi="Arial" w:cs="Arial"/>
        </w:rPr>
      </w:pPr>
      <w:r w:rsidRPr="00056799">
        <w:rPr>
          <w:rFonts w:ascii="Arial" w:hAnsi="Arial" w:cs="Arial"/>
        </w:rPr>
        <w:t xml:space="preserve">It is further recommended that a public consultation process be developed and undertaken once the outcomes of the workshop have been finalized and agreed.  If this recommendation is adopted, then the Bushfire Mitigation Bill website should be updated to reflect this.   </w:t>
      </w:r>
    </w:p>
    <w:p w14:paraId="02AF96F7" w14:textId="77777777" w:rsidR="005B6EBC" w:rsidRPr="00056799" w:rsidRDefault="005B6EBC" w:rsidP="005B6EBC">
      <w:pPr>
        <w:tabs>
          <w:tab w:val="left" w:pos="1490"/>
        </w:tabs>
        <w:spacing w:before="0"/>
        <w:jc w:val="both"/>
        <w:rPr>
          <w:rFonts w:ascii="Arial" w:hAnsi="Arial" w:cs="Arial"/>
        </w:rPr>
      </w:pPr>
      <w:r>
        <w:rPr>
          <w:rFonts w:ascii="Arial" w:hAnsi="Arial" w:cs="Arial"/>
        </w:rPr>
        <w:t xml:space="preserve">In summary the author supports </w:t>
      </w:r>
      <w:r w:rsidRPr="00056799">
        <w:rPr>
          <w:rFonts w:ascii="Arial" w:hAnsi="Arial" w:cs="Arial"/>
        </w:rPr>
        <w:t>recommendations 30,31</w:t>
      </w:r>
      <w:r>
        <w:rPr>
          <w:rFonts w:ascii="Arial" w:hAnsi="Arial" w:cs="Arial"/>
        </w:rPr>
        <w:t xml:space="preserve"> and 34.</w:t>
      </w:r>
    </w:p>
    <w:p w14:paraId="152576C1" w14:textId="1BB667D2" w:rsidR="00D5739E" w:rsidRDefault="00D5739E" w:rsidP="005B6EBC">
      <w:pPr>
        <w:tabs>
          <w:tab w:val="left" w:pos="1490"/>
        </w:tabs>
        <w:jc w:val="both"/>
        <w:rPr>
          <w:rFonts w:ascii="Arial" w:hAnsi="Arial" w:cs="Arial"/>
          <w:i/>
          <w:iCs/>
        </w:rPr>
      </w:pPr>
    </w:p>
    <w:p w14:paraId="3FB9962A" w14:textId="4DC2AFE9" w:rsidR="00346F95" w:rsidRDefault="00346F95" w:rsidP="005B6EBC">
      <w:pPr>
        <w:tabs>
          <w:tab w:val="left" w:pos="1490"/>
        </w:tabs>
        <w:jc w:val="both"/>
        <w:rPr>
          <w:rFonts w:ascii="Arial" w:hAnsi="Arial" w:cs="Arial"/>
          <w:i/>
          <w:iCs/>
        </w:rPr>
      </w:pPr>
    </w:p>
    <w:p w14:paraId="40E351A4" w14:textId="77777777" w:rsidR="00346F95" w:rsidRDefault="00346F95" w:rsidP="005B6EBC">
      <w:pPr>
        <w:tabs>
          <w:tab w:val="left" w:pos="1490"/>
        </w:tabs>
        <w:jc w:val="both"/>
        <w:rPr>
          <w:rFonts w:ascii="Arial" w:hAnsi="Arial" w:cs="Arial"/>
          <w:i/>
          <w:iCs/>
        </w:rPr>
      </w:pPr>
    </w:p>
    <w:p w14:paraId="077B4651" w14:textId="5DF82EBA" w:rsidR="005B6EBC" w:rsidRPr="00826D39" w:rsidRDefault="005B6EBC" w:rsidP="005B6EBC">
      <w:pPr>
        <w:tabs>
          <w:tab w:val="left" w:pos="1490"/>
        </w:tabs>
        <w:jc w:val="both"/>
        <w:rPr>
          <w:rFonts w:ascii="Arial" w:hAnsi="Arial" w:cs="Arial"/>
          <w:i/>
          <w:iCs/>
        </w:rPr>
      </w:pPr>
      <w:r w:rsidRPr="00826D39">
        <w:rPr>
          <w:rFonts w:ascii="Arial" w:hAnsi="Arial" w:cs="Arial"/>
          <w:i/>
          <w:iCs/>
        </w:rPr>
        <w:lastRenderedPageBreak/>
        <w:t xml:space="preserve">Medical response </w:t>
      </w:r>
    </w:p>
    <w:p w14:paraId="1F454474"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27 – medical emergency responses by TFES should be a matter of policy not legislation.  Ensure legislation allows for additional functions that TFES personnel may perform, subject to training and credentialling. Ensuring while Ambulance Tasmania is the primary agency for medical responses, legislation does not prohibit it from entering arrangements with TFES for training and credentialling.</w:t>
      </w:r>
    </w:p>
    <w:p w14:paraId="3F5FE45E" w14:textId="77777777" w:rsidR="005B6EBC" w:rsidRPr="00056799" w:rsidRDefault="005B6EBC" w:rsidP="005B6EBC">
      <w:pPr>
        <w:tabs>
          <w:tab w:val="left" w:pos="1490"/>
        </w:tabs>
        <w:jc w:val="both"/>
        <w:rPr>
          <w:rFonts w:ascii="Arial" w:hAnsi="Arial" w:cs="Arial"/>
        </w:rPr>
      </w:pPr>
      <w:r w:rsidRPr="00056799">
        <w:rPr>
          <w:rFonts w:ascii="Arial" w:hAnsi="Arial" w:cs="Arial"/>
        </w:rPr>
        <w:t>No submissions dealt with this recommendation.  Ambulance Tasmania supports TFES continuing to provide first responder assistance in certain circumstance such as being first on the scene at a car crash.  This recommendation ensures there will be no barriers to the development of MOUs, protocols, and agreements between Ambulance Tasmania and TFES that cover roles, responsibilities, training and credentialling for TFES staff including volunteers. This development of TFES staff in an emergency medical response capacity is a good use of resources for the community and should be supported.</w:t>
      </w:r>
    </w:p>
    <w:p w14:paraId="5CC8B5E6" w14:textId="77777777" w:rsidR="005B6EBC" w:rsidRDefault="005B6EBC" w:rsidP="005B6EBC">
      <w:pPr>
        <w:tabs>
          <w:tab w:val="left" w:pos="1490"/>
        </w:tabs>
        <w:jc w:val="both"/>
        <w:rPr>
          <w:rFonts w:ascii="Arial" w:hAnsi="Arial" w:cs="Arial"/>
        </w:rPr>
      </w:pPr>
    </w:p>
    <w:p w14:paraId="1AF72AE6" w14:textId="77777777" w:rsidR="005B6EBC" w:rsidRPr="00826D39" w:rsidRDefault="005B6EBC" w:rsidP="005B6EBC">
      <w:pPr>
        <w:tabs>
          <w:tab w:val="left" w:pos="1490"/>
        </w:tabs>
        <w:jc w:val="both"/>
        <w:rPr>
          <w:rFonts w:ascii="Arial" w:hAnsi="Arial" w:cs="Arial"/>
          <w:i/>
          <w:iCs/>
          <w:color w:val="005B9A" w:themeColor="accent1"/>
        </w:rPr>
      </w:pPr>
      <w:r w:rsidRPr="00826D39">
        <w:rPr>
          <w:rFonts w:ascii="Arial" w:hAnsi="Arial" w:cs="Arial"/>
          <w:i/>
          <w:iCs/>
          <w:color w:val="000000" w:themeColor="text1"/>
        </w:rPr>
        <w:t>Indemnities</w:t>
      </w:r>
      <w:r w:rsidRPr="00826D39">
        <w:rPr>
          <w:rFonts w:ascii="Arial" w:hAnsi="Arial" w:cs="Arial"/>
          <w:i/>
          <w:iCs/>
          <w:color w:val="005B9A" w:themeColor="accent1"/>
        </w:rPr>
        <w:t xml:space="preserve"> </w:t>
      </w:r>
    </w:p>
    <w:p w14:paraId="17357414"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28 – develop legislation that empowers TFES with functions, powers and indemnities that reflect its role in emergency management and response. The legislation should cover levels of indemnity, the power to confer powers and indemnities on individuals and organizations outside the TFES including interstate and international personnel.  To provide authority and indemnity for quick responses to address fire outbreaks on private land for STT and PWS staff and other potential first responders. Provide clarity on MOU arrangements with private forests where authority to act is automatic such as FireComm.</w:t>
      </w:r>
    </w:p>
    <w:p w14:paraId="78B2D16B" w14:textId="77777777" w:rsidR="005B6EBC" w:rsidRPr="00056799" w:rsidRDefault="005B6EBC" w:rsidP="005B6EBC">
      <w:pPr>
        <w:tabs>
          <w:tab w:val="left" w:pos="1490"/>
        </w:tabs>
        <w:jc w:val="both"/>
        <w:rPr>
          <w:rFonts w:ascii="Arial" w:hAnsi="Arial" w:cs="Arial"/>
        </w:rPr>
      </w:pPr>
      <w:r w:rsidRPr="00056799">
        <w:rPr>
          <w:rFonts w:ascii="Arial" w:hAnsi="Arial" w:cs="Arial"/>
        </w:rPr>
        <w:t>Generally, submissions supported legislative clarity on indemnities and responses by non TFES personnel to fire outbreaks in a timely manner to maximize the opportunity to reduce fire damage on both public and private land.  Concerns raised were potential for disproportionate responses to fire resulting in significant damage to the environment and gaming the system by private landowners to use the pretext of initial fire suppression to undertake activities that are not environmentally appropriate.</w:t>
      </w:r>
    </w:p>
    <w:p w14:paraId="7F18F1E0" w14:textId="6BBFCBCE" w:rsidR="005B6EBC" w:rsidRDefault="005B6EBC" w:rsidP="005B6EBC">
      <w:pPr>
        <w:tabs>
          <w:tab w:val="left" w:pos="1490"/>
        </w:tabs>
        <w:jc w:val="both"/>
        <w:rPr>
          <w:rFonts w:ascii="Arial" w:hAnsi="Arial" w:cs="Arial"/>
        </w:rPr>
      </w:pPr>
      <w:r w:rsidRPr="00056799">
        <w:rPr>
          <w:rFonts w:ascii="Arial" w:hAnsi="Arial" w:cs="Arial"/>
        </w:rPr>
        <w:t>These recommendations recognize the fact that the initial suppression of a fire at source is a public benefit regardless of where the source is. There are many circumstances whereby it is not possible for TFES personnel to exercise that function.  It is imperative that there is clarity regarding indemnities, conferral of powers to act and protection for individuals acting in “good faith”.  Concerns about the balance struck in legislation cannot be assessed until the provisions are drafted.  It is not contested that clarity is required so this recommendation should be supported in total.  There will need to be further consultation once the drafting has occurred and should be conducted as part of the normal legislative drafting process.</w:t>
      </w:r>
    </w:p>
    <w:p w14:paraId="37FA85C3" w14:textId="20EA6149" w:rsidR="00346F95" w:rsidRDefault="00346F95" w:rsidP="005B6EBC">
      <w:pPr>
        <w:tabs>
          <w:tab w:val="left" w:pos="1490"/>
        </w:tabs>
        <w:jc w:val="both"/>
        <w:rPr>
          <w:rFonts w:ascii="Arial" w:hAnsi="Arial" w:cs="Arial"/>
        </w:rPr>
      </w:pPr>
    </w:p>
    <w:p w14:paraId="5AA2E005" w14:textId="357909FE" w:rsidR="00346F95" w:rsidRDefault="00346F95" w:rsidP="005B6EBC">
      <w:pPr>
        <w:tabs>
          <w:tab w:val="left" w:pos="1490"/>
        </w:tabs>
        <w:jc w:val="both"/>
        <w:rPr>
          <w:rFonts w:ascii="Arial" w:hAnsi="Arial" w:cs="Arial"/>
        </w:rPr>
      </w:pPr>
    </w:p>
    <w:p w14:paraId="7F811782" w14:textId="166FC5F3" w:rsidR="00346F95" w:rsidRDefault="00346F95" w:rsidP="005B6EBC">
      <w:pPr>
        <w:tabs>
          <w:tab w:val="left" w:pos="1490"/>
        </w:tabs>
        <w:jc w:val="both"/>
        <w:rPr>
          <w:rFonts w:ascii="Arial" w:hAnsi="Arial" w:cs="Arial"/>
        </w:rPr>
      </w:pPr>
    </w:p>
    <w:p w14:paraId="5909A828" w14:textId="6284FF2A" w:rsidR="00346F95" w:rsidRDefault="00346F95" w:rsidP="005B6EBC">
      <w:pPr>
        <w:tabs>
          <w:tab w:val="left" w:pos="1490"/>
        </w:tabs>
        <w:jc w:val="both"/>
        <w:rPr>
          <w:rFonts w:ascii="Arial" w:hAnsi="Arial" w:cs="Arial"/>
        </w:rPr>
      </w:pPr>
    </w:p>
    <w:p w14:paraId="233DD908" w14:textId="77777777" w:rsidR="00346F95" w:rsidRPr="00056799" w:rsidRDefault="00346F95" w:rsidP="005B6EBC">
      <w:pPr>
        <w:tabs>
          <w:tab w:val="left" w:pos="1490"/>
        </w:tabs>
        <w:jc w:val="both"/>
        <w:rPr>
          <w:rFonts w:ascii="Arial" w:hAnsi="Arial" w:cs="Arial"/>
        </w:rPr>
      </w:pPr>
    </w:p>
    <w:p w14:paraId="7B040FE3" w14:textId="77777777" w:rsidR="005B6EBC" w:rsidRPr="00056799" w:rsidRDefault="005B6EBC" w:rsidP="005B6EBC">
      <w:pPr>
        <w:tabs>
          <w:tab w:val="left" w:pos="1490"/>
        </w:tabs>
        <w:jc w:val="both"/>
        <w:rPr>
          <w:rFonts w:ascii="Arial" w:hAnsi="Arial" w:cs="Arial"/>
        </w:rPr>
      </w:pPr>
      <w:r w:rsidRPr="00056799">
        <w:rPr>
          <w:rFonts w:ascii="Arial" w:hAnsi="Arial" w:cs="Arial"/>
        </w:rPr>
        <w:lastRenderedPageBreak/>
        <w:t>Recommendation 29 – address conflicting, duplication, and gaps in the roles of TFES, PWS STT and private entities involved in dealing with fires. Allow non-TFES officers in charge of fire suppression to have access, and to deal with, a fire as soon as possible.  Include a Head of Power to allow protocols for management of the relationship between TFES and other land management and emergency services agencies.  Provide firefighters, SES, and other delegated agencies/individuals involved in firefighting indemnity from liability with other delegated agencies/individuals defined broadly to include non-firefighters/non-emergency workers/not public servants.  Authorize TFES, PWS, STT officers to close roads and to regulate traffic.</w:t>
      </w:r>
    </w:p>
    <w:p w14:paraId="65E27EDC" w14:textId="77777777" w:rsidR="005B6EBC" w:rsidRPr="00056799" w:rsidRDefault="005B6EBC" w:rsidP="005B6EBC">
      <w:pPr>
        <w:tabs>
          <w:tab w:val="left" w:pos="1490"/>
        </w:tabs>
        <w:jc w:val="both"/>
        <w:rPr>
          <w:rFonts w:ascii="Arial" w:hAnsi="Arial" w:cs="Arial"/>
        </w:rPr>
      </w:pPr>
      <w:r w:rsidRPr="00056799">
        <w:rPr>
          <w:rFonts w:ascii="Arial" w:hAnsi="Arial" w:cs="Arial"/>
        </w:rPr>
        <w:t>Submissions generally supported the recommendations intent of resolving long standing problems with the current FSAs differing powers for forestry and parks officers. There is agreement that indemnities should cover all persons who are involved in firefighting regardless of their role or employment status.  There was broad support for the recommendations on protocols between agencies and for the ability of TFES to close or control roads.</w:t>
      </w:r>
    </w:p>
    <w:p w14:paraId="3D29A074" w14:textId="77777777" w:rsidR="005B6EBC" w:rsidRPr="00056799" w:rsidRDefault="005B6EBC" w:rsidP="005B6EBC">
      <w:pPr>
        <w:tabs>
          <w:tab w:val="left" w:pos="1490"/>
        </w:tabs>
        <w:jc w:val="both"/>
        <w:rPr>
          <w:rFonts w:ascii="Arial" w:hAnsi="Arial" w:cs="Arial"/>
        </w:rPr>
      </w:pPr>
      <w:r w:rsidRPr="00056799">
        <w:rPr>
          <w:rFonts w:ascii="Arial" w:hAnsi="Arial" w:cs="Arial"/>
        </w:rPr>
        <w:t>As in recommendation 28 the objectives of these recommendations are appropriate and sensible, but their actual effect cannot be assessed until the provisions of the legislation are drafted.  Again, the process for the development of draft legislation will involve consultation so that all parties will have the opportunity to comment on the final product.</w:t>
      </w:r>
    </w:p>
    <w:p w14:paraId="321BAD6C" w14:textId="77777777" w:rsidR="00D5739E" w:rsidRDefault="00D5739E" w:rsidP="005B6EBC">
      <w:pPr>
        <w:tabs>
          <w:tab w:val="left" w:pos="1490"/>
        </w:tabs>
        <w:jc w:val="both"/>
        <w:rPr>
          <w:rFonts w:ascii="Arial" w:hAnsi="Arial" w:cs="Arial"/>
          <w:i/>
          <w:iCs/>
        </w:rPr>
      </w:pPr>
    </w:p>
    <w:p w14:paraId="11ECA74D" w14:textId="7A1FD42D" w:rsidR="005B6EBC" w:rsidRPr="00826D39" w:rsidRDefault="005B6EBC" w:rsidP="005B6EBC">
      <w:pPr>
        <w:tabs>
          <w:tab w:val="left" w:pos="1490"/>
        </w:tabs>
        <w:jc w:val="both"/>
        <w:rPr>
          <w:rFonts w:ascii="Arial" w:hAnsi="Arial" w:cs="Arial"/>
          <w:i/>
          <w:iCs/>
        </w:rPr>
      </w:pPr>
      <w:r w:rsidRPr="00826D39">
        <w:rPr>
          <w:rFonts w:ascii="Arial" w:hAnsi="Arial" w:cs="Arial"/>
          <w:i/>
          <w:iCs/>
        </w:rPr>
        <w:t xml:space="preserve">TFES Head of Power </w:t>
      </w:r>
    </w:p>
    <w:p w14:paraId="3EDAE1EE"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33 – provide a head of power to TFES to determine a range of matters involving brigades.</w:t>
      </w:r>
    </w:p>
    <w:p w14:paraId="6E1A4C33" w14:textId="77777777" w:rsidR="005B6EBC" w:rsidRPr="00056799" w:rsidRDefault="005B6EBC" w:rsidP="005B6EBC">
      <w:pPr>
        <w:tabs>
          <w:tab w:val="left" w:pos="1490"/>
        </w:tabs>
        <w:jc w:val="both"/>
        <w:rPr>
          <w:rFonts w:ascii="Arial" w:hAnsi="Arial" w:cs="Arial"/>
        </w:rPr>
      </w:pPr>
      <w:r w:rsidRPr="00056799">
        <w:rPr>
          <w:rFonts w:ascii="Arial" w:hAnsi="Arial" w:cs="Arial"/>
        </w:rPr>
        <w:t>There were no specific submissions on this point but a general support for the codifying of the range of brigade’s matters including establishment, abolishment, membership, structure, functions, powers, responsibilities, register/de-register brigade members, appoint unit managers and brigade chiefs, appoint industry brigades.</w:t>
      </w:r>
    </w:p>
    <w:p w14:paraId="01EA35DF" w14:textId="77777777" w:rsidR="005B6EBC" w:rsidRPr="00056799" w:rsidRDefault="005B6EBC" w:rsidP="005B6EBC">
      <w:pPr>
        <w:tabs>
          <w:tab w:val="left" w:pos="1490"/>
        </w:tabs>
        <w:jc w:val="both"/>
        <w:rPr>
          <w:rFonts w:ascii="Arial" w:hAnsi="Arial" w:cs="Arial"/>
        </w:rPr>
      </w:pPr>
      <w:r w:rsidRPr="00056799">
        <w:rPr>
          <w:rFonts w:ascii="Arial" w:hAnsi="Arial" w:cs="Arial"/>
        </w:rPr>
        <w:t>This recommendation should be supported allowing TFES full control of a major strategy to deal with fighting rural fires.</w:t>
      </w:r>
    </w:p>
    <w:p w14:paraId="11214A83"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36 – legislate for TFES responsibility to issue permits regarding fire protection equipment subject to a review of current regulatory and conflict of interest arrangements</w:t>
      </w:r>
    </w:p>
    <w:p w14:paraId="4534344C" w14:textId="77777777" w:rsidR="005B6EBC" w:rsidRPr="00056799" w:rsidRDefault="005B6EBC" w:rsidP="005B6EBC">
      <w:pPr>
        <w:tabs>
          <w:tab w:val="left" w:pos="1490"/>
        </w:tabs>
        <w:jc w:val="both"/>
        <w:rPr>
          <w:rFonts w:ascii="Arial" w:hAnsi="Arial" w:cs="Arial"/>
        </w:rPr>
      </w:pPr>
      <w:r w:rsidRPr="00056799">
        <w:rPr>
          <w:rFonts w:ascii="Arial" w:hAnsi="Arial" w:cs="Arial"/>
        </w:rPr>
        <w:t xml:space="preserve">There is support for this recommendation which essentially is the current situation.  Some concern was expresses over TFS both managing fire industry regulation and permits meaning that in some areas it is both a provider and regulator of these services.  </w:t>
      </w:r>
    </w:p>
    <w:p w14:paraId="7EC714A2" w14:textId="77777777" w:rsidR="005B6EBC" w:rsidRPr="00056799" w:rsidRDefault="005B6EBC" w:rsidP="005B6EBC">
      <w:pPr>
        <w:tabs>
          <w:tab w:val="left" w:pos="1490"/>
        </w:tabs>
        <w:jc w:val="both"/>
        <w:rPr>
          <w:rFonts w:ascii="Arial" w:hAnsi="Arial" w:cs="Arial"/>
        </w:rPr>
      </w:pPr>
      <w:r w:rsidRPr="00056799">
        <w:rPr>
          <w:rFonts w:ascii="Arial" w:hAnsi="Arial" w:cs="Arial"/>
        </w:rPr>
        <w:t>There was no support for these responsibilities either being outsourced or covered by arrangements with Consumer, Building and Occupational Health Services within the Department of Justice.</w:t>
      </w:r>
    </w:p>
    <w:p w14:paraId="366F8091" w14:textId="77777777" w:rsidR="005B6EBC" w:rsidRPr="00056799" w:rsidRDefault="005B6EBC" w:rsidP="005B6EBC">
      <w:pPr>
        <w:tabs>
          <w:tab w:val="left" w:pos="1490"/>
        </w:tabs>
        <w:jc w:val="both"/>
        <w:rPr>
          <w:rFonts w:ascii="Arial" w:hAnsi="Arial" w:cs="Arial"/>
        </w:rPr>
      </w:pPr>
      <w:r w:rsidRPr="00056799">
        <w:rPr>
          <w:rFonts w:ascii="Arial" w:hAnsi="Arial" w:cs="Arial"/>
        </w:rPr>
        <w:t>This recommendation which continues the status quo should be supported.</w:t>
      </w:r>
    </w:p>
    <w:p w14:paraId="6EA3FBF0" w14:textId="16BBDB87" w:rsidR="005B6EBC" w:rsidRDefault="005B6EBC" w:rsidP="005B6EBC">
      <w:pPr>
        <w:tabs>
          <w:tab w:val="left" w:pos="1490"/>
        </w:tabs>
        <w:jc w:val="both"/>
        <w:rPr>
          <w:rFonts w:ascii="Arial" w:hAnsi="Arial" w:cs="Arial"/>
        </w:rPr>
      </w:pPr>
    </w:p>
    <w:p w14:paraId="3FE198CB" w14:textId="4CAF79EA" w:rsidR="00346F95" w:rsidRDefault="00346F95" w:rsidP="005B6EBC">
      <w:pPr>
        <w:tabs>
          <w:tab w:val="left" w:pos="1490"/>
        </w:tabs>
        <w:jc w:val="both"/>
        <w:rPr>
          <w:rFonts w:ascii="Arial" w:hAnsi="Arial" w:cs="Arial"/>
        </w:rPr>
      </w:pPr>
    </w:p>
    <w:p w14:paraId="02E4DB81" w14:textId="20C5A102" w:rsidR="00346F95" w:rsidRDefault="00346F95" w:rsidP="005B6EBC">
      <w:pPr>
        <w:tabs>
          <w:tab w:val="left" w:pos="1490"/>
        </w:tabs>
        <w:jc w:val="both"/>
        <w:rPr>
          <w:rFonts w:ascii="Arial" w:hAnsi="Arial" w:cs="Arial"/>
        </w:rPr>
      </w:pPr>
    </w:p>
    <w:p w14:paraId="2405080C" w14:textId="77777777" w:rsidR="005B6EBC" w:rsidRPr="00826D39" w:rsidRDefault="005B6EBC" w:rsidP="005B6EBC">
      <w:pPr>
        <w:tabs>
          <w:tab w:val="left" w:pos="1490"/>
        </w:tabs>
        <w:jc w:val="both"/>
        <w:rPr>
          <w:rFonts w:ascii="Arial" w:hAnsi="Arial" w:cs="Arial"/>
          <w:i/>
          <w:iCs/>
        </w:rPr>
      </w:pPr>
      <w:r w:rsidRPr="00826D39">
        <w:rPr>
          <w:rFonts w:ascii="Arial" w:hAnsi="Arial" w:cs="Arial"/>
          <w:i/>
          <w:iCs/>
        </w:rPr>
        <w:lastRenderedPageBreak/>
        <w:t xml:space="preserve">Emergency Management response </w:t>
      </w:r>
    </w:p>
    <w:p w14:paraId="70127086"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39 – legislate by regulation or statutory instrument to establish a chain of command for response, make clear all emergency responders are subject to</w:t>
      </w:r>
      <w:r>
        <w:rPr>
          <w:rFonts w:ascii="Arial" w:hAnsi="Arial" w:cs="Arial"/>
        </w:rPr>
        <w:t xml:space="preserve"> </w:t>
      </w:r>
      <w:r w:rsidRPr="00056799">
        <w:rPr>
          <w:rFonts w:ascii="Arial" w:hAnsi="Arial" w:cs="Arial"/>
        </w:rPr>
        <w:t>the Incident Controller’s direction, ensure an endorsement or accreditation process is in place for incident management staff and update the roles and responsibilities for emergency management to be consistent with provisions of the Emergency Management Act.</w:t>
      </w:r>
    </w:p>
    <w:p w14:paraId="0E73BF6A" w14:textId="77777777" w:rsidR="005B6EBC" w:rsidRPr="00056799" w:rsidRDefault="005B6EBC" w:rsidP="005B6EBC">
      <w:pPr>
        <w:tabs>
          <w:tab w:val="left" w:pos="1490"/>
        </w:tabs>
        <w:jc w:val="both"/>
        <w:rPr>
          <w:rFonts w:ascii="Arial" w:hAnsi="Arial" w:cs="Arial"/>
        </w:rPr>
      </w:pPr>
      <w:r w:rsidRPr="00056799">
        <w:rPr>
          <w:rFonts w:ascii="Arial" w:hAnsi="Arial" w:cs="Arial"/>
        </w:rPr>
        <w:t>There was no opposition to these recommendations in any submissions and support from the SES at subsequent discussions.</w:t>
      </w:r>
    </w:p>
    <w:p w14:paraId="09830D5E" w14:textId="77777777" w:rsidR="005B6EBC" w:rsidRPr="00056799" w:rsidRDefault="005B6EBC" w:rsidP="005B6EBC">
      <w:pPr>
        <w:tabs>
          <w:tab w:val="left" w:pos="1490"/>
        </w:tabs>
        <w:jc w:val="both"/>
        <w:rPr>
          <w:rFonts w:ascii="Arial" w:hAnsi="Arial" w:cs="Arial"/>
        </w:rPr>
      </w:pPr>
      <w:r w:rsidRPr="00056799">
        <w:rPr>
          <w:rFonts w:ascii="Arial" w:hAnsi="Arial" w:cs="Arial"/>
        </w:rPr>
        <w:t>In essence this recommendation seeks to provide legal authority for Incidents Controllers to assume command, but the actual manner of selection and response protocols would be covered by policy thus ensuring legal certainty whilst maintaining flexibility.  It should be supported.</w:t>
      </w:r>
    </w:p>
    <w:p w14:paraId="03A48A0C" w14:textId="77777777" w:rsidR="005B6EBC" w:rsidRDefault="005B6EBC" w:rsidP="005B6EBC">
      <w:pPr>
        <w:tabs>
          <w:tab w:val="left" w:pos="1490"/>
        </w:tabs>
        <w:jc w:val="both"/>
        <w:rPr>
          <w:rFonts w:ascii="Arial" w:hAnsi="Arial" w:cs="Arial"/>
          <w:i/>
          <w:iCs/>
        </w:rPr>
      </w:pPr>
    </w:p>
    <w:p w14:paraId="5A5098FE" w14:textId="77777777" w:rsidR="005B6EBC" w:rsidRPr="00826D39" w:rsidRDefault="005B6EBC" w:rsidP="005B6EBC">
      <w:pPr>
        <w:tabs>
          <w:tab w:val="left" w:pos="1490"/>
        </w:tabs>
        <w:jc w:val="both"/>
        <w:rPr>
          <w:rFonts w:ascii="Arial" w:hAnsi="Arial" w:cs="Arial"/>
          <w:i/>
          <w:iCs/>
        </w:rPr>
      </w:pPr>
      <w:r w:rsidRPr="00826D39">
        <w:rPr>
          <w:rFonts w:ascii="Arial" w:hAnsi="Arial" w:cs="Arial"/>
          <w:i/>
          <w:iCs/>
        </w:rPr>
        <w:t xml:space="preserve">Fire safety compliance </w:t>
      </w:r>
    </w:p>
    <w:p w14:paraId="610A2FAC"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41- review contemporary and suitable legislation from other fire jurisdictions to determine a more proactive and pragmatic approach to fire safety compliance in the built environment.</w:t>
      </w:r>
    </w:p>
    <w:p w14:paraId="5ED3CCCC" w14:textId="77777777" w:rsidR="005B6EBC" w:rsidRPr="00056799" w:rsidRDefault="005B6EBC" w:rsidP="005B6EBC">
      <w:pPr>
        <w:tabs>
          <w:tab w:val="left" w:pos="1490"/>
        </w:tabs>
        <w:jc w:val="both"/>
        <w:rPr>
          <w:rFonts w:ascii="Arial" w:hAnsi="Arial" w:cs="Arial"/>
        </w:rPr>
      </w:pPr>
      <w:r w:rsidRPr="00056799">
        <w:rPr>
          <w:rFonts w:ascii="Arial" w:hAnsi="Arial" w:cs="Arial"/>
        </w:rPr>
        <w:t>No submissions dealt with this point.</w:t>
      </w:r>
    </w:p>
    <w:p w14:paraId="7E649CDA" w14:textId="77777777" w:rsidR="005B6EBC" w:rsidRPr="00056799" w:rsidRDefault="005B6EBC" w:rsidP="005B6EBC">
      <w:pPr>
        <w:tabs>
          <w:tab w:val="left" w:pos="1490"/>
        </w:tabs>
        <w:jc w:val="both"/>
        <w:rPr>
          <w:rFonts w:ascii="Arial" w:hAnsi="Arial" w:cs="Arial"/>
        </w:rPr>
      </w:pPr>
      <w:r w:rsidRPr="00056799">
        <w:rPr>
          <w:rFonts w:ascii="Arial" w:hAnsi="Arial" w:cs="Arial"/>
        </w:rPr>
        <w:t>This recommendation arises from concerns from the TFS in relation to their ability to issue fire orders and the use of Councils to issue building orders and evacuation orders which relies on Council priorities to prepare the orders.  Other States have better tools at their disposal, so the recommendation deals with determining these and using them in the Tasmanian system.</w:t>
      </w:r>
    </w:p>
    <w:p w14:paraId="74E242DD" w14:textId="77777777" w:rsidR="005B6EBC" w:rsidRPr="00056799" w:rsidRDefault="005B6EBC" w:rsidP="005B6EBC">
      <w:pPr>
        <w:tabs>
          <w:tab w:val="left" w:pos="1490"/>
        </w:tabs>
        <w:jc w:val="both"/>
        <w:rPr>
          <w:rFonts w:ascii="Arial" w:hAnsi="Arial" w:cs="Arial"/>
        </w:rPr>
      </w:pPr>
      <w:r w:rsidRPr="00056799">
        <w:rPr>
          <w:rFonts w:ascii="Arial" w:hAnsi="Arial" w:cs="Arial"/>
        </w:rPr>
        <w:t>This recommendation should be supported.</w:t>
      </w:r>
    </w:p>
    <w:p w14:paraId="272C193D" w14:textId="77777777" w:rsidR="005B6EBC" w:rsidRDefault="005B6EBC" w:rsidP="005B6EBC">
      <w:pPr>
        <w:tabs>
          <w:tab w:val="left" w:pos="1490"/>
        </w:tabs>
        <w:jc w:val="both"/>
        <w:rPr>
          <w:rFonts w:ascii="Arial" w:hAnsi="Arial" w:cs="Arial"/>
          <w:i/>
          <w:iCs/>
        </w:rPr>
      </w:pPr>
    </w:p>
    <w:p w14:paraId="61D103DD" w14:textId="77777777" w:rsidR="005B6EBC" w:rsidRPr="00826D39" w:rsidRDefault="005B6EBC" w:rsidP="005B6EBC">
      <w:pPr>
        <w:tabs>
          <w:tab w:val="left" w:pos="1490"/>
        </w:tabs>
        <w:jc w:val="both"/>
        <w:rPr>
          <w:rFonts w:ascii="Arial" w:hAnsi="Arial" w:cs="Arial"/>
          <w:i/>
          <w:iCs/>
        </w:rPr>
      </w:pPr>
      <w:r w:rsidRPr="00826D39">
        <w:rPr>
          <w:rFonts w:ascii="Arial" w:hAnsi="Arial" w:cs="Arial"/>
          <w:i/>
          <w:iCs/>
        </w:rPr>
        <w:t xml:space="preserve">Principles based legalisation </w:t>
      </w:r>
    </w:p>
    <w:p w14:paraId="2A8E12CC"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42 – new legislation to be contemporary, forward looking, and flexible delivering an authorizing and enabling environment facilitating a broad range of fire and non-fire prescribed activities</w:t>
      </w:r>
    </w:p>
    <w:p w14:paraId="2773E9F6"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43 - legislate for provision of a secondary process to change or add functions without the need to amend legislation. The core legislation however cannot be changed without full review by Parliament and public input</w:t>
      </w:r>
    </w:p>
    <w:p w14:paraId="24E351A5"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45 – draft new legislation to be short, forward-looking and principles based with detail addressed in regulations.</w:t>
      </w:r>
    </w:p>
    <w:p w14:paraId="3FBFE129" w14:textId="20180E15" w:rsidR="005B6EBC" w:rsidRDefault="005B6EBC" w:rsidP="005B6EBC">
      <w:pPr>
        <w:tabs>
          <w:tab w:val="left" w:pos="1490"/>
        </w:tabs>
        <w:jc w:val="both"/>
        <w:rPr>
          <w:rFonts w:ascii="Arial" w:hAnsi="Arial" w:cs="Arial"/>
        </w:rPr>
      </w:pPr>
      <w:r w:rsidRPr="00056799">
        <w:rPr>
          <w:rFonts w:ascii="Arial" w:hAnsi="Arial" w:cs="Arial"/>
        </w:rPr>
        <w:t>Recommendations 42,43,45 have been grouped together as they deal with the same points namely that the legislation should be principles based and forward looking with the ability of a lot of the detail to be specified in regulations. This enables flexibility and certainty for dealing with the range of issues that may arise in fire and other emergency situations.</w:t>
      </w:r>
    </w:p>
    <w:p w14:paraId="55E10AC1" w14:textId="356660C3" w:rsidR="00346F95" w:rsidRDefault="00346F95" w:rsidP="005B6EBC">
      <w:pPr>
        <w:tabs>
          <w:tab w:val="left" w:pos="1490"/>
        </w:tabs>
        <w:jc w:val="both"/>
        <w:rPr>
          <w:rFonts w:ascii="Arial" w:hAnsi="Arial" w:cs="Arial"/>
        </w:rPr>
      </w:pPr>
    </w:p>
    <w:p w14:paraId="339AD9BB" w14:textId="77777777" w:rsidR="00346F95" w:rsidRPr="00056799" w:rsidRDefault="00346F95" w:rsidP="005B6EBC">
      <w:pPr>
        <w:tabs>
          <w:tab w:val="left" w:pos="1490"/>
        </w:tabs>
        <w:jc w:val="both"/>
        <w:rPr>
          <w:rFonts w:ascii="Arial" w:hAnsi="Arial" w:cs="Arial"/>
        </w:rPr>
      </w:pPr>
    </w:p>
    <w:p w14:paraId="3F2DC0E7" w14:textId="77777777" w:rsidR="005B6EBC" w:rsidRPr="00056799" w:rsidRDefault="005B6EBC" w:rsidP="005B6EBC">
      <w:pPr>
        <w:tabs>
          <w:tab w:val="left" w:pos="1490"/>
        </w:tabs>
        <w:jc w:val="both"/>
        <w:rPr>
          <w:rFonts w:ascii="Arial" w:hAnsi="Arial" w:cs="Arial"/>
        </w:rPr>
      </w:pPr>
      <w:r w:rsidRPr="00056799">
        <w:rPr>
          <w:rFonts w:ascii="Arial" w:hAnsi="Arial" w:cs="Arial"/>
        </w:rPr>
        <w:lastRenderedPageBreak/>
        <w:t>There was no opposition to any of these recommendations in the submissions. LGAT did express concern that greater focus on principles</w:t>
      </w:r>
      <w:r w:rsidRPr="00056799">
        <w:rPr>
          <w:rFonts w:ascii="Cambria Math" w:hAnsi="Cambria Math" w:cs="Cambria Math"/>
        </w:rPr>
        <w:t>‐</w:t>
      </w:r>
      <w:r w:rsidRPr="00056799">
        <w:rPr>
          <w:rFonts w:ascii="Arial" w:hAnsi="Arial" w:cs="Arial"/>
        </w:rPr>
        <w:t>based legislation brings with it concerns that prescription will be introduced through related regulatory instruments without the same level of engagement or consultation with councils. LGAT is of the view that inclusion of a provision such as currently exists at Section 28AA of the Local Government Act would go some way to addressing this concern. Further, pushing much of the detail into separate instruments would be at odds with an accessible, easy to read legislative approach. A balance is required.</w:t>
      </w:r>
    </w:p>
    <w:p w14:paraId="594E440B" w14:textId="77777777" w:rsidR="005B6EBC" w:rsidRPr="00056799" w:rsidRDefault="005B6EBC" w:rsidP="005B6EBC">
      <w:pPr>
        <w:tabs>
          <w:tab w:val="left" w:pos="1490"/>
        </w:tabs>
        <w:jc w:val="both"/>
        <w:rPr>
          <w:rFonts w:ascii="Arial" w:hAnsi="Arial" w:cs="Arial"/>
        </w:rPr>
      </w:pPr>
      <w:r w:rsidRPr="00056799">
        <w:rPr>
          <w:rFonts w:ascii="Arial" w:hAnsi="Arial" w:cs="Arial"/>
        </w:rPr>
        <w:t>These recommendations should be supported. In relation to the balance of appropriate public scrutiny on changes to regulations, it will be necessary to ensure that Councils are consulted prior to any proposed change in regulations covering these areas.</w:t>
      </w:r>
    </w:p>
    <w:p w14:paraId="2A9549F1" w14:textId="77777777" w:rsidR="005B6EBC" w:rsidRPr="00056799" w:rsidRDefault="005B6EBC" w:rsidP="005B6EBC">
      <w:pPr>
        <w:tabs>
          <w:tab w:val="left" w:pos="1490"/>
        </w:tabs>
        <w:jc w:val="both"/>
        <w:rPr>
          <w:rFonts w:ascii="Arial" w:hAnsi="Arial" w:cs="Arial"/>
        </w:rPr>
      </w:pPr>
      <w:r w:rsidRPr="00056799">
        <w:rPr>
          <w:rFonts w:ascii="Arial" w:hAnsi="Arial" w:cs="Arial"/>
        </w:rPr>
        <w:t>Summary</w:t>
      </w:r>
      <w:r>
        <w:rPr>
          <w:rFonts w:ascii="Arial" w:hAnsi="Arial" w:cs="Arial"/>
        </w:rPr>
        <w:t>:</w:t>
      </w:r>
    </w:p>
    <w:p w14:paraId="3C426443" w14:textId="77777777" w:rsidR="005B6EBC" w:rsidRPr="00056799" w:rsidRDefault="005B6EBC" w:rsidP="005B6EBC">
      <w:pPr>
        <w:tabs>
          <w:tab w:val="left" w:pos="1490"/>
        </w:tabs>
        <w:jc w:val="both"/>
        <w:rPr>
          <w:rFonts w:ascii="Arial" w:hAnsi="Arial" w:cs="Arial"/>
        </w:rPr>
      </w:pPr>
      <w:r w:rsidRPr="00056799">
        <w:rPr>
          <w:rFonts w:ascii="Arial" w:hAnsi="Arial" w:cs="Arial"/>
        </w:rPr>
        <w:t>Support Recommendations 27,28,29,33,36,39,41,42,43,45</w:t>
      </w:r>
    </w:p>
    <w:p w14:paraId="5A0D43A4" w14:textId="77777777" w:rsidR="005B6EBC" w:rsidRDefault="005B6EBC" w:rsidP="005B6EBC">
      <w:pPr>
        <w:tabs>
          <w:tab w:val="left" w:pos="1490"/>
        </w:tabs>
        <w:jc w:val="both"/>
        <w:rPr>
          <w:rFonts w:ascii="Arial" w:hAnsi="Arial" w:cs="Arial"/>
          <w:sz w:val="22"/>
          <w:szCs w:val="22"/>
        </w:rPr>
      </w:pPr>
    </w:p>
    <w:p w14:paraId="49E8DA98" w14:textId="77777777" w:rsidR="005B6EBC" w:rsidRPr="00826D39" w:rsidRDefault="005B6EBC" w:rsidP="005B6EBC">
      <w:pPr>
        <w:tabs>
          <w:tab w:val="left" w:pos="1490"/>
        </w:tabs>
        <w:jc w:val="both"/>
        <w:rPr>
          <w:rFonts w:ascii="Arial" w:hAnsi="Arial" w:cs="Arial"/>
          <w:i/>
          <w:iCs/>
        </w:rPr>
      </w:pPr>
      <w:r w:rsidRPr="00826D39">
        <w:rPr>
          <w:rFonts w:ascii="Arial" w:hAnsi="Arial" w:cs="Arial"/>
          <w:i/>
          <w:iCs/>
        </w:rPr>
        <w:t xml:space="preserve">SES Secretariat </w:t>
      </w:r>
    </w:p>
    <w:p w14:paraId="0516E844"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32 – transferring the current SES secretariat function to either DPFEM or DPAC who are agencies with primary responsibility for statewide emergency management as well as the SES Emergency Management Unit functions associated with statewide risk assessments, emergency planning, and emergency management policy.</w:t>
      </w:r>
    </w:p>
    <w:p w14:paraId="5AD93385" w14:textId="77777777" w:rsidR="005B6EBC" w:rsidRPr="00056799" w:rsidRDefault="005B6EBC" w:rsidP="005B6EBC">
      <w:pPr>
        <w:tabs>
          <w:tab w:val="left" w:pos="1490"/>
        </w:tabs>
        <w:jc w:val="both"/>
        <w:rPr>
          <w:rFonts w:ascii="Arial" w:hAnsi="Arial" w:cs="Arial"/>
        </w:rPr>
      </w:pPr>
      <w:r w:rsidRPr="00056799">
        <w:rPr>
          <w:rFonts w:ascii="Arial" w:hAnsi="Arial" w:cs="Arial"/>
        </w:rPr>
        <w:t>The SES and the SES Volunteers Association do not support this recommendation based on the potential fragmentation of expertise within SES and the use of current SES officers to undertake these functions on an ad hoc basis as these duties happen infrequently.  There does  not seem to be  much advantage in this proposal in terms of efficiencies or effectiveness.</w:t>
      </w:r>
    </w:p>
    <w:p w14:paraId="599A65B5" w14:textId="77777777" w:rsidR="005B6EBC" w:rsidRPr="00056799" w:rsidRDefault="005B6EBC" w:rsidP="005B6EBC">
      <w:pPr>
        <w:tabs>
          <w:tab w:val="left" w:pos="1490"/>
        </w:tabs>
        <w:jc w:val="both"/>
        <w:rPr>
          <w:rFonts w:ascii="Arial" w:hAnsi="Arial" w:cs="Arial"/>
        </w:rPr>
      </w:pPr>
      <w:r w:rsidRPr="00056799">
        <w:rPr>
          <w:rFonts w:ascii="Arial" w:hAnsi="Arial" w:cs="Arial"/>
        </w:rPr>
        <w:t>Given the SES opposition it would be beneficial to reconsider this recommendation once the TFES is established and bedded down within the proposed departmental model.  It then becomes a decision that would be made by the DPEM in consultation with DPAC on how best to service the functions of providing a secretariat service, risk assessments, emergency planning and emergency management policy.</w:t>
      </w:r>
    </w:p>
    <w:p w14:paraId="133CBC47" w14:textId="77777777" w:rsidR="005B6EBC" w:rsidRDefault="005B6EBC" w:rsidP="005B6EBC">
      <w:pPr>
        <w:tabs>
          <w:tab w:val="left" w:pos="1490"/>
        </w:tabs>
        <w:jc w:val="both"/>
        <w:rPr>
          <w:rFonts w:ascii="Arial" w:hAnsi="Arial" w:cs="Arial"/>
        </w:rPr>
      </w:pPr>
    </w:p>
    <w:p w14:paraId="1C0FBC5F" w14:textId="77777777" w:rsidR="005B6EBC" w:rsidRPr="007B5582" w:rsidRDefault="005B6EBC" w:rsidP="005B6EBC">
      <w:pPr>
        <w:tabs>
          <w:tab w:val="left" w:pos="1490"/>
        </w:tabs>
        <w:jc w:val="both"/>
        <w:rPr>
          <w:rFonts w:ascii="Arial" w:hAnsi="Arial" w:cs="Arial"/>
          <w:i/>
          <w:iCs/>
        </w:rPr>
      </w:pPr>
      <w:r w:rsidRPr="007B5582">
        <w:rPr>
          <w:rFonts w:ascii="Arial" w:hAnsi="Arial" w:cs="Arial"/>
          <w:i/>
          <w:iCs/>
        </w:rPr>
        <w:t>Community Education</w:t>
      </w:r>
    </w:p>
    <w:p w14:paraId="22BA546B"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35 – Expect but don’t legislate for TFES to provide education on preparation for fire and relevant emergency risks.</w:t>
      </w:r>
    </w:p>
    <w:p w14:paraId="6145406C" w14:textId="77777777" w:rsidR="005B6EBC" w:rsidRPr="00056799" w:rsidRDefault="005B6EBC" w:rsidP="005B6EBC">
      <w:pPr>
        <w:tabs>
          <w:tab w:val="left" w:pos="1490"/>
        </w:tabs>
        <w:jc w:val="both"/>
        <w:rPr>
          <w:rFonts w:ascii="Arial" w:hAnsi="Arial" w:cs="Arial"/>
        </w:rPr>
      </w:pPr>
      <w:r w:rsidRPr="00056799">
        <w:rPr>
          <w:rFonts w:ascii="Arial" w:hAnsi="Arial" w:cs="Arial"/>
        </w:rPr>
        <w:t>No submissions addressed this recommendation</w:t>
      </w:r>
      <w:r>
        <w:rPr>
          <w:rFonts w:ascii="Arial" w:hAnsi="Arial" w:cs="Arial"/>
        </w:rPr>
        <w:t>.</w:t>
      </w:r>
    </w:p>
    <w:p w14:paraId="38C547E0" w14:textId="77777777" w:rsidR="005B6EBC" w:rsidRPr="00056799" w:rsidRDefault="005B6EBC" w:rsidP="005B6EBC">
      <w:pPr>
        <w:tabs>
          <w:tab w:val="left" w:pos="1490"/>
        </w:tabs>
        <w:jc w:val="both"/>
        <w:rPr>
          <w:rFonts w:ascii="Arial" w:hAnsi="Arial" w:cs="Arial"/>
        </w:rPr>
      </w:pPr>
      <w:r w:rsidRPr="00056799">
        <w:rPr>
          <w:rFonts w:ascii="Arial" w:hAnsi="Arial" w:cs="Arial"/>
        </w:rPr>
        <w:t>Given the expertise that exists in TFES in this area it is logical for TFES to be involved in education on preparation for fire and relevant emergency risks.</w:t>
      </w:r>
    </w:p>
    <w:p w14:paraId="036331A6" w14:textId="77777777" w:rsidR="005B6EBC" w:rsidRDefault="005B6EBC" w:rsidP="005B6EBC">
      <w:pPr>
        <w:tabs>
          <w:tab w:val="left" w:pos="1490"/>
        </w:tabs>
        <w:jc w:val="both"/>
        <w:rPr>
          <w:rFonts w:ascii="Arial" w:hAnsi="Arial" w:cs="Arial"/>
          <w:i/>
          <w:iCs/>
        </w:rPr>
      </w:pPr>
    </w:p>
    <w:p w14:paraId="58B0D6A9" w14:textId="77777777" w:rsidR="00E7699B" w:rsidRDefault="00E7699B">
      <w:pPr>
        <w:spacing w:before="0" w:after="0"/>
        <w:rPr>
          <w:rFonts w:ascii="Arial" w:hAnsi="Arial" w:cs="Arial"/>
          <w:i/>
          <w:iCs/>
        </w:rPr>
      </w:pPr>
      <w:r>
        <w:rPr>
          <w:rFonts w:ascii="Arial" w:hAnsi="Arial" w:cs="Arial"/>
          <w:i/>
          <w:iCs/>
        </w:rPr>
        <w:br w:type="page"/>
      </w:r>
    </w:p>
    <w:p w14:paraId="0F74558B" w14:textId="2000C5CC" w:rsidR="005B6EBC" w:rsidRPr="00826D39" w:rsidRDefault="005B6EBC" w:rsidP="005B6EBC">
      <w:pPr>
        <w:tabs>
          <w:tab w:val="left" w:pos="1490"/>
        </w:tabs>
        <w:jc w:val="both"/>
        <w:rPr>
          <w:rFonts w:ascii="Arial" w:hAnsi="Arial" w:cs="Arial"/>
          <w:i/>
          <w:iCs/>
        </w:rPr>
      </w:pPr>
      <w:r w:rsidRPr="00826D39">
        <w:rPr>
          <w:rFonts w:ascii="Arial" w:hAnsi="Arial" w:cs="Arial"/>
          <w:i/>
          <w:iCs/>
        </w:rPr>
        <w:lastRenderedPageBreak/>
        <w:t xml:space="preserve">Worksafe Tasmania involvement </w:t>
      </w:r>
    </w:p>
    <w:p w14:paraId="7D027DB9"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37 – establish in law or regulation that high-risk facilities have their emergency response procedures reviewed and approved by WorkSafe Tasmania with advice provided by TFES.</w:t>
      </w:r>
    </w:p>
    <w:p w14:paraId="639E264E" w14:textId="77777777" w:rsidR="005B6EBC" w:rsidRPr="00056799" w:rsidRDefault="005B6EBC" w:rsidP="005B6EBC">
      <w:pPr>
        <w:jc w:val="both"/>
        <w:rPr>
          <w:rFonts w:ascii="Arial" w:hAnsi="Arial" w:cs="Arial"/>
          <w:lang w:val="en-AU"/>
        </w:rPr>
      </w:pPr>
      <w:r w:rsidRPr="00056799">
        <w:rPr>
          <w:rFonts w:ascii="Arial" w:hAnsi="Arial" w:cs="Arial"/>
        </w:rPr>
        <w:t xml:space="preserve">WorkSafe Tasmania oppose this recommendation on the basis that </w:t>
      </w:r>
    </w:p>
    <w:p w14:paraId="4530612B" w14:textId="77777777" w:rsidR="005B6EBC" w:rsidRPr="00056799" w:rsidRDefault="005B6EBC" w:rsidP="005B6EBC">
      <w:pPr>
        <w:pStyle w:val="Default"/>
        <w:jc w:val="both"/>
        <w:rPr>
          <w:rFonts w:ascii="Arial" w:hAnsi="Arial" w:cs="Arial"/>
          <w:lang w:val="en-AU"/>
        </w:rPr>
      </w:pPr>
      <w:r w:rsidRPr="00056799">
        <w:rPr>
          <w:rFonts w:ascii="Arial" w:hAnsi="Arial" w:cs="Arial"/>
          <w:lang w:val="en-AU"/>
        </w:rPr>
        <w:t xml:space="preserve">Regulation 43 of the </w:t>
      </w:r>
      <w:r w:rsidRPr="00056799">
        <w:rPr>
          <w:rFonts w:ascii="Arial" w:hAnsi="Arial" w:cs="Arial"/>
          <w:i/>
          <w:iCs/>
          <w:lang w:val="en-AU"/>
        </w:rPr>
        <w:t xml:space="preserve">Work Health and Safety Regulations 2012 </w:t>
      </w:r>
      <w:r w:rsidRPr="00056799">
        <w:rPr>
          <w:rFonts w:ascii="Arial" w:hAnsi="Arial" w:cs="Arial"/>
          <w:lang w:val="en-AU"/>
        </w:rPr>
        <w:t>(‘WHS Regulations’) imposes a duty on the Person Conducting a Business or Undertaking (‘PCBU’) to prepare, maintain and implement an emergency plan. Whilst WorkSafe Tasmania (the work health and safety regulator (‘WHS regulator’)) may investigate compliance with this regulation, it does not review and approve emergency plans. Furthermore</w:t>
      </w:r>
      <w:r>
        <w:rPr>
          <w:rFonts w:ascii="Arial" w:hAnsi="Arial" w:cs="Arial"/>
          <w:lang w:val="en-AU"/>
        </w:rPr>
        <w:t>:</w:t>
      </w:r>
    </w:p>
    <w:p w14:paraId="6C0C787F" w14:textId="77777777" w:rsidR="005B6EBC" w:rsidRPr="00056799" w:rsidRDefault="005B6EBC" w:rsidP="005B6EBC">
      <w:pPr>
        <w:pStyle w:val="Default"/>
        <w:jc w:val="both"/>
        <w:rPr>
          <w:rFonts w:ascii="Arial" w:hAnsi="Arial" w:cs="Arial"/>
          <w:lang w:val="en-AU"/>
        </w:rPr>
      </w:pPr>
    </w:p>
    <w:p w14:paraId="3577A416" w14:textId="77777777" w:rsidR="005B6EBC" w:rsidRDefault="005B6EBC" w:rsidP="005B6EBC">
      <w:pPr>
        <w:pStyle w:val="Default"/>
        <w:numPr>
          <w:ilvl w:val="0"/>
          <w:numId w:val="54"/>
        </w:numPr>
        <w:adjustRightInd/>
        <w:spacing w:after="198"/>
        <w:jc w:val="both"/>
        <w:rPr>
          <w:rFonts w:ascii="Arial" w:hAnsi="Arial" w:cs="Arial"/>
          <w:lang w:val="en-AU"/>
        </w:rPr>
      </w:pPr>
      <w:r w:rsidRPr="00056799">
        <w:rPr>
          <w:rFonts w:ascii="Arial" w:hAnsi="Arial" w:cs="Arial"/>
          <w:lang w:val="en-AU"/>
        </w:rPr>
        <w:t>The work health and safety laws are risk-based. They place the responsibility for identifying hazards and managing risks on the PCBU. The duty to prepare, maintain and implement emergency plans lies with the PCBU as it needs to assess the risk and determine appropriate controls suitable for that particular workplace.</w:t>
      </w:r>
    </w:p>
    <w:p w14:paraId="49DEB4E3" w14:textId="77777777" w:rsidR="005B6EBC" w:rsidRDefault="005B6EBC" w:rsidP="005B6EBC">
      <w:pPr>
        <w:pStyle w:val="Default"/>
        <w:numPr>
          <w:ilvl w:val="0"/>
          <w:numId w:val="54"/>
        </w:numPr>
        <w:adjustRightInd/>
        <w:spacing w:after="198"/>
        <w:jc w:val="both"/>
        <w:rPr>
          <w:rFonts w:ascii="Arial" w:hAnsi="Arial" w:cs="Arial"/>
          <w:lang w:val="en-AU"/>
        </w:rPr>
      </w:pPr>
      <w:r>
        <w:rPr>
          <w:rFonts w:ascii="Arial" w:hAnsi="Arial" w:cs="Arial"/>
          <w:lang w:val="en-AU"/>
        </w:rPr>
        <w:t xml:space="preserve">It is appropriate for Worksafe Tasmania </w:t>
      </w:r>
      <w:r w:rsidRPr="007E40D7">
        <w:rPr>
          <w:rFonts w:ascii="Arial" w:hAnsi="Arial" w:cs="Arial"/>
          <w:lang w:val="en-AU"/>
        </w:rPr>
        <w:t xml:space="preserve">to review and approve emergency response procedures. The responsibility for ensuring emergency plans are appropriate for the risk rests with the PCBU and the accountability for approving emergency plans should not be transferred to the WHS regulator. In fact, as the WHS regulator monitors for compliance with the </w:t>
      </w:r>
      <w:r w:rsidRPr="007E40D7">
        <w:rPr>
          <w:rFonts w:ascii="Arial" w:hAnsi="Arial" w:cs="Arial"/>
          <w:i/>
          <w:iCs/>
          <w:lang w:val="en-AU"/>
        </w:rPr>
        <w:t xml:space="preserve">Work Health and Safety Act 2012 </w:t>
      </w:r>
      <w:r w:rsidRPr="007E40D7">
        <w:rPr>
          <w:rFonts w:ascii="Arial" w:hAnsi="Arial" w:cs="Arial"/>
          <w:lang w:val="en-AU"/>
        </w:rPr>
        <w:t xml:space="preserve">and the WHS Regulations, a conflict of interest arises from the proposed approach. It could result in an outcome where the regulator approves an emergency plan, and then investigates to determine whether or not that plan it approved met the legislative requirements in the event of a fatality, serious injury, or dangerous incident. It is likely this would undermine the ability of the WHS regulator to prosecute for an offence under the Act in this circumstance; </w:t>
      </w:r>
    </w:p>
    <w:p w14:paraId="7FCE3A95" w14:textId="77777777" w:rsidR="005B6EBC" w:rsidRPr="007E40D7" w:rsidRDefault="005B6EBC" w:rsidP="005B6EBC">
      <w:pPr>
        <w:pStyle w:val="Default"/>
        <w:numPr>
          <w:ilvl w:val="0"/>
          <w:numId w:val="54"/>
        </w:numPr>
        <w:adjustRightInd/>
        <w:spacing w:after="198"/>
        <w:jc w:val="both"/>
        <w:rPr>
          <w:rFonts w:ascii="Arial" w:hAnsi="Arial" w:cs="Arial"/>
          <w:lang w:val="en-AU"/>
        </w:rPr>
      </w:pPr>
      <w:r>
        <w:rPr>
          <w:rFonts w:ascii="Arial" w:hAnsi="Arial" w:cs="Arial"/>
          <w:lang w:val="en-AU"/>
        </w:rPr>
        <w:t xml:space="preserve">If WorkSafe Tasmania </w:t>
      </w:r>
      <w:r w:rsidRPr="007E40D7">
        <w:rPr>
          <w:rFonts w:ascii="Arial" w:hAnsi="Arial" w:cs="Arial"/>
          <w:lang w:val="en-AU"/>
        </w:rPr>
        <w:t xml:space="preserve">were required to review and approve emergency plans, further resourcing would be required. The WHS regulator does not currently have persons with the building design, fire safety or emergency management expertise to competently undertake this function. Furthermore, within the current staffing there is no additional capacity available for this work to be undertaken; and </w:t>
      </w:r>
    </w:p>
    <w:p w14:paraId="25AA6955" w14:textId="77777777" w:rsidR="005B6EBC" w:rsidRPr="00056799" w:rsidRDefault="005B6EBC" w:rsidP="005B6EBC">
      <w:pPr>
        <w:pStyle w:val="Default"/>
        <w:numPr>
          <w:ilvl w:val="0"/>
          <w:numId w:val="54"/>
        </w:numPr>
        <w:adjustRightInd/>
        <w:spacing w:after="198"/>
        <w:jc w:val="both"/>
        <w:rPr>
          <w:rFonts w:ascii="Arial" w:hAnsi="Arial" w:cs="Arial"/>
          <w:lang w:val="en-AU"/>
        </w:rPr>
      </w:pPr>
      <w:r w:rsidRPr="00056799">
        <w:rPr>
          <w:rFonts w:ascii="Arial" w:hAnsi="Arial" w:cs="Arial"/>
          <w:lang w:val="en-AU"/>
        </w:rPr>
        <w:t xml:space="preserve">The proposition that the approval of the emergency plan rest with WorkSafe Tasmania, with expert advice being sought from TFES is inefficient and is likely to result in practice with the decision to approve or not approve is, in effect, being made by TFES as their advice would be solely relied on as the source of building fire safety and emergency management expertise. </w:t>
      </w:r>
    </w:p>
    <w:p w14:paraId="15979775" w14:textId="77777777" w:rsidR="005B6EBC" w:rsidRPr="00056799" w:rsidRDefault="005B6EBC" w:rsidP="005B6EBC">
      <w:pPr>
        <w:jc w:val="both"/>
        <w:rPr>
          <w:rFonts w:ascii="Arial" w:hAnsi="Arial" w:cs="Arial"/>
          <w:lang w:val="en-AU"/>
        </w:rPr>
      </w:pPr>
      <w:r w:rsidRPr="00056799">
        <w:rPr>
          <w:rFonts w:ascii="Arial" w:hAnsi="Arial" w:cs="Arial"/>
          <w:lang w:val="en-AU"/>
        </w:rPr>
        <w:t>The Department of Justice acknowledges the importance of the Tasmania Fire Service providing subject matter expertise relating to fire safety requirements in Tasmanian buildings. The Department is of the view that this requirement should continue for the benefit of all people who own, work, live, or conduct business within Tasmanian buildings.</w:t>
      </w:r>
    </w:p>
    <w:p w14:paraId="739A121B" w14:textId="569F99F2" w:rsidR="005B6EBC" w:rsidRDefault="005B6EBC" w:rsidP="005B6EBC">
      <w:pPr>
        <w:tabs>
          <w:tab w:val="left" w:pos="1490"/>
        </w:tabs>
        <w:jc w:val="both"/>
        <w:rPr>
          <w:rFonts w:ascii="Arial" w:hAnsi="Arial" w:cs="Arial"/>
          <w:i/>
          <w:iCs/>
        </w:rPr>
      </w:pPr>
    </w:p>
    <w:p w14:paraId="43E1CFE6" w14:textId="77777777" w:rsidR="00346F95" w:rsidRDefault="00346F95" w:rsidP="005B6EBC">
      <w:pPr>
        <w:tabs>
          <w:tab w:val="left" w:pos="1490"/>
        </w:tabs>
        <w:jc w:val="both"/>
        <w:rPr>
          <w:rFonts w:ascii="Arial" w:hAnsi="Arial" w:cs="Arial"/>
          <w:i/>
          <w:iCs/>
        </w:rPr>
      </w:pPr>
    </w:p>
    <w:p w14:paraId="78B59542" w14:textId="77777777" w:rsidR="005B6EBC" w:rsidRPr="00826D39" w:rsidRDefault="005B6EBC" w:rsidP="005B6EBC">
      <w:pPr>
        <w:tabs>
          <w:tab w:val="left" w:pos="1490"/>
        </w:tabs>
        <w:jc w:val="both"/>
        <w:rPr>
          <w:rFonts w:ascii="Arial" w:hAnsi="Arial" w:cs="Arial"/>
          <w:i/>
          <w:iCs/>
        </w:rPr>
      </w:pPr>
      <w:r w:rsidRPr="00826D39">
        <w:rPr>
          <w:rFonts w:ascii="Arial" w:hAnsi="Arial" w:cs="Arial"/>
          <w:i/>
          <w:iCs/>
        </w:rPr>
        <w:lastRenderedPageBreak/>
        <w:t xml:space="preserve">Offences </w:t>
      </w:r>
    </w:p>
    <w:p w14:paraId="692C0421"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38 – review current offence and penalty provisions to ensure they reflect the role of TFES as well as reviewing relevant provisions in the Police Offences Act 1935.</w:t>
      </w:r>
    </w:p>
    <w:p w14:paraId="58A74944" w14:textId="77777777" w:rsidR="005B6EBC" w:rsidRPr="00056799" w:rsidRDefault="005B6EBC" w:rsidP="005B6EBC">
      <w:pPr>
        <w:tabs>
          <w:tab w:val="left" w:pos="1490"/>
        </w:tabs>
        <w:jc w:val="both"/>
        <w:rPr>
          <w:rFonts w:ascii="Arial" w:hAnsi="Arial" w:cs="Arial"/>
        </w:rPr>
      </w:pPr>
      <w:r w:rsidRPr="00056799">
        <w:rPr>
          <w:rFonts w:ascii="Arial" w:hAnsi="Arial" w:cs="Arial"/>
        </w:rPr>
        <w:t>There was support for this recommendation in submissions from the various volunteer associations and the SMFC.  This recommendation should be supported.</w:t>
      </w:r>
    </w:p>
    <w:p w14:paraId="24B2A965" w14:textId="77777777" w:rsidR="005B6EBC" w:rsidRPr="00826D39" w:rsidRDefault="005B6EBC" w:rsidP="005B6EBC">
      <w:pPr>
        <w:tabs>
          <w:tab w:val="left" w:pos="1490"/>
        </w:tabs>
        <w:jc w:val="both"/>
        <w:rPr>
          <w:rFonts w:ascii="Arial" w:hAnsi="Arial" w:cs="Arial"/>
          <w:i/>
          <w:iCs/>
        </w:rPr>
      </w:pPr>
      <w:r w:rsidRPr="00826D39">
        <w:rPr>
          <w:rFonts w:ascii="Arial" w:hAnsi="Arial" w:cs="Arial"/>
          <w:i/>
          <w:iCs/>
        </w:rPr>
        <w:t xml:space="preserve">Climate Change Risk </w:t>
      </w:r>
    </w:p>
    <w:p w14:paraId="75194C8C" w14:textId="77777777" w:rsidR="005B6EBC" w:rsidRPr="00056799" w:rsidRDefault="005B6EBC" w:rsidP="005B6EBC">
      <w:pPr>
        <w:tabs>
          <w:tab w:val="left" w:pos="1490"/>
        </w:tabs>
        <w:jc w:val="both"/>
        <w:rPr>
          <w:rFonts w:ascii="Arial" w:hAnsi="Arial" w:cs="Arial"/>
        </w:rPr>
      </w:pPr>
      <w:r w:rsidRPr="00056799">
        <w:rPr>
          <w:rFonts w:ascii="Arial" w:hAnsi="Arial" w:cs="Arial"/>
        </w:rPr>
        <w:t>Recommendation 40 – expect TFES to have capability to advise and participate in development of strategies for identifying risks associated with climate change and mitigation.</w:t>
      </w:r>
    </w:p>
    <w:p w14:paraId="669A944A" w14:textId="77777777" w:rsidR="005B6EBC" w:rsidRPr="00056799" w:rsidRDefault="005B6EBC" w:rsidP="005B6EBC">
      <w:pPr>
        <w:tabs>
          <w:tab w:val="left" w:pos="1490"/>
        </w:tabs>
        <w:jc w:val="both"/>
        <w:rPr>
          <w:rFonts w:ascii="Arial" w:hAnsi="Arial" w:cs="Arial"/>
        </w:rPr>
      </w:pPr>
      <w:r w:rsidRPr="00056799">
        <w:rPr>
          <w:rFonts w:ascii="Arial" w:hAnsi="Arial" w:cs="Arial"/>
        </w:rPr>
        <w:t>No submissions dealt with this point specifically but with climate change likely to result in more frequent and more severe wildfire events, coordination of research by TFES and the University of Tasmania and DPACs Climate Change Office is logical and should be supported.  As to whether climate change research capabilities should be based in TFES would be a matter for DPFEM and DPAC to determine.</w:t>
      </w:r>
    </w:p>
    <w:p w14:paraId="7637017C" w14:textId="77B4F353" w:rsidR="00FB087B" w:rsidRPr="007B5582" w:rsidRDefault="0045458D" w:rsidP="005B6EBC">
      <w:pPr>
        <w:tabs>
          <w:tab w:val="left" w:pos="1490"/>
        </w:tabs>
        <w:jc w:val="both"/>
        <w:rPr>
          <w:rFonts w:ascii="Arial" w:hAnsi="Arial" w:cs="Arial"/>
          <w:i/>
          <w:iCs/>
        </w:rPr>
      </w:pPr>
      <w:r w:rsidRPr="007B5582">
        <w:rPr>
          <w:rFonts w:ascii="Arial" w:hAnsi="Arial" w:cs="Arial"/>
          <w:i/>
          <w:iCs/>
        </w:rPr>
        <w:t>Objectives of TFES</w:t>
      </w:r>
    </w:p>
    <w:p w14:paraId="0028D8A1" w14:textId="77777777" w:rsidR="00713482" w:rsidRPr="007B5582" w:rsidRDefault="00713482" w:rsidP="00713482">
      <w:pPr>
        <w:tabs>
          <w:tab w:val="left" w:pos="1490"/>
        </w:tabs>
        <w:jc w:val="both"/>
        <w:rPr>
          <w:rFonts w:ascii="Arial" w:hAnsi="Arial" w:cs="Arial"/>
        </w:rPr>
      </w:pPr>
      <w:r w:rsidRPr="007B5582">
        <w:rPr>
          <w:rFonts w:ascii="Arial" w:hAnsi="Arial" w:cs="Arial"/>
        </w:rPr>
        <w:t>Recommendation 44 deals with prescribing the principal objectives of TFES and is not contested by any submission received as part of the consultation process.</w:t>
      </w:r>
    </w:p>
    <w:p w14:paraId="4BFBE4B0" w14:textId="77777777" w:rsidR="00FB087B" w:rsidRDefault="00FB087B" w:rsidP="005B6EBC">
      <w:pPr>
        <w:tabs>
          <w:tab w:val="left" w:pos="1490"/>
        </w:tabs>
        <w:jc w:val="both"/>
        <w:rPr>
          <w:rFonts w:ascii="Arial" w:hAnsi="Arial" w:cs="Arial"/>
        </w:rPr>
      </w:pPr>
    </w:p>
    <w:p w14:paraId="5337B76B" w14:textId="774C7A47" w:rsidR="005B6EBC" w:rsidRPr="00056799" w:rsidRDefault="005B6EBC" w:rsidP="005B6EBC">
      <w:pPr>
        <w:tabs>
          <w:tab w:val="left" w:pos="1490"/>
        </w:tabs>
        <w:jc w:val="both"/>
        <w:rPr>
          <w:rFonts w:ascii="Arial" w:hAnsi="Arial" w:cs="Arial"/>
        </w:rPr>
      </w:pPr>
      <w:r w:rsidRPr="00056799">
        <w:rPr>
          <w:rFonts w:ascii="Arial" w:hAnsi="Arial" w:cs="Arial"/>
        </w:rPr>
        <w:t>Summary</w:t>
      </w:r>
      <w:r>
        <w:rPr>
          <w:rFonts w:ascii="Arial" w:hAnsi="Arial" w:cs="Arial"/>
        </w:rPr>
        <w:t>:</w:t>
      </w:r>
      <w:r w:rsidRPr="00056799">
        <w:rPr>
          <w:rFonts w:ascii="Arial" w:hAnsi="Arial" w:cs="Arial"/>
        </w:rPr>
        <w:t xml:space="preserve"> </w:t>
      </w:r>
    </w:p>
    <w:p w14:paraId="1B846A3A" w14:textId="5F15EB3F" w:rsidR="005B6EBC" w:rsidRPr="00056799" w:rsidRDefault="005B6EBC" w:rsidP="005B6EBC">
      <w:pPr>
        <w:tabs>
          <w:tab w:val="left" w:pos="1490"/>
        </w:tabs>
        <w:jc w:val="both"/>
        <w:rPr>
          <w:rFonts w:ascii="Arial" w:hAnsi="Arial" w:cs="Arial"/>
        </w:rPr>
      </w:pPr>
      <w:r w:rsidRPr="00056799">
        <w:rPr>
          <w:rFonts w:ascii="Arial" w:hAnsi="Arial" w:cs="Arial"/>
        </w:rPr>
        <w:t>Support recommendations 5,6,7,35,38,40</w:t>
      </w:r>
      <w:r w:rsidR="00151518">
        <w:rPr>
          <w:rFonts w:ascii="Arial" w:hAnsi="Arial" w:cs="Arial"/>
        </w:rPr>
        <w:t xml:space="preserve"> and 44</w:t>
      </w:r>
      <w:r>
        <w:rPr>
          <w:rFonts w:ascii="Arial" w:hAnsi="Arial" w:cs="Arial"/>
        </w:rPr>
        <w:t>.</w:t>
      </w:r>
    </w:p>
    <w:p w14:paraId="41EBEB31" w14:textId="77777777" w:rsidR="005B6EBC" w:rsidRDefault="005B6EBC" w:rsidP="005B6EBC">
      <w:pPr>
        <w:tabs>
          <w:tab w:val="left" w:pos="1490"/>
        </w:tabs>
        <w:jc w:val="both"/>
        <w:rPr>
          <w:rFonts w:ascii="Arial" w:hAnsi="Arial" w:cs="Arial"/>
          <w:sz w:val="22"/>
          <w:szCs w:val="22"/>
        </w:rPr>
      </w:pPr>
      <w:r w:rsidRPr="00056799">
        <w:rPr>
          <w:rFonts w:ascii="Arial" w:hAnsi="Arial" w:cs="Arial"/>
        </w:rPr>
        <w:t>Do not support recommendations 32,37</w:t>
      </w:r>
      <w:r>
        <w:rPr>
          <w:rFonts w:ascii="Arial" w:hAnsi="Arial" w:cs="Arial"/>
        </w:rPr>
        <w:t>.</w:t>
      </w:r>
    </w:p>
    <w:p w14:paraId="12AA9284" w14:textId="77777777" w:rsidR="005B6EBC" w:rsidRPr="00B61C40" w:rsidRDefault="005B6EBC" w:rsidP="005B6EBC">
      <w:pPr>
        <w:tabs>
          <w:tab w:val="left" w:pos="1490"/>
        </w:tabs>
        <w:jc w:val="both"/>
        <w:rPr>
          <w:rFonts w:ascii="Arial" w:hAnsi="Arial" w:cs="Arial"/>
          <w:sz w:val="22"/>
          <w:szCs w:val="22"/>
        </w:rPr>
      </w:pPr>
    </w:p>
    <w:p w14:paraId="5ECE4F31" w14:textId="77777777" w:rsidR="005B0C9A" w:rsidRPr="00B61C40" w:rsidRDefault="005B0C9A" w:rsidP="00056799">
      <w:pPr>
        <w:tabs>
          <w:tab w:val="left" w:pos="1490"/>
        </w:tabs>
        <w:jc w:val="both"/>
        <w:rPr>
          <w:rFonts w:ascii="Arial" w:hAnsi="Arial" w:cs="Arial"/>
          <w:sz w:val="22"/>
          <w:szCs w:val="22"/>
        </w:rPr>
      </w:pPr>
    </w:p>
    <w:p w14:paraId="2BC0F6A0" w14:textId="3182CFCE" w:rsidR="00663AC6" w:rsidRDefault="00663AC6">
      <w:pPr>
        <w:spacing w:before="0" w:after="0"/>
        <w:rPr>
          <w:rFonts w:ascii="Arial" w:hAnsi="Arial" w:cs="Arial"/>
          <w:sz w:val="22"/>
          <w:szCs w:val="22"/>
        </w:rPr>
      </w:pPr>
      <w:r>
        <w:rPr>
          <w:rFonts w:ascii="Arial" w:hAnsi="Arial" w:cs="Arial"/>
          <w:sz w:val="22"/>
          <w:szCs w:val="22"/>
        </w:rPr>
        <w:br w:type="page"/>
      </w:r>
    </w:p>
    <w:p w14:paraId="538AD0CB" w14:textId="77777777" w:rsidR="005B0C9A" w:rsidRPr="00056799" w:rsidRDefault="005B0C9A" w:rsidP="00056799">
      <w:pPr>
        <w:tabs>
          <w:tab w:val="left" w:pos="1490"/>
        </w:tabs>
        <w:jc w:val="both"/>
        <w:rPr>
          <w:rFonts w:ascii="Arial" w:hAnsi="Arial" w:cs="Arial"/>
          <w:b/>
          <w:bCs/>
          <w:sz w:val="22"/>
          <w:szCs w:val="22"/>
        </w:rPr>
      </w:pPr>
      <w:r w:rsidRPr="00056799">
        <w:rPr>
          <w:rFonts w:ascii="Arial" w:hAnsi="Arial" w:cs="Arial"/>
          <w:b/>
          <w:bCs/>
          <w:sz w:val="22"/>
          <w:szCs w:val="22"/>
        </w:rPr>
        <w:lastRenderedPageBreak/>
        <w:t>Appendix 1</w:t>
      </w:r>
    </w:p>
    <w:p w14:paraId="0F78DDD5" w14:textId="77777777" w:rsidR="005B0C9A" w:rsidRPr="00056799" w:rsidRDefault="005B0C9A" w:rsidP="00056799">
      <w:pPr>
        <w:tabs>
          <w:tab w:val="left" w:pos="1490"/>
        </w:tabs>
        <w:jc w:val="both"/>
        <w:rPr>
          <w:rFonts w:ascii="Arial" w:hAnsi="Arial" w:cs="Arial"/>
          <w:color w:val="0070C0"/>
          <w:sz w:val="28"/>
          <w:szCs w:val="28"/>
        </w:rPr>
      </w:pPr>
      <w:r w:rsidRPr="00056799">
        <w:rPr>
          <w:rFonts w:ascii="Arial" w:hAnsi="Arial" w:cs="Arial"/>
          <w:color w:val="0070C0"/>
          <w:sz w:val="28"/>
          <w:szCs w:val="28"/>
        </w:rPr>
        <w:t>Blake Report Recommendations</w:t>
      </w:r>
    </w:p>
    <w:p w14:paraId="2AE2DEF1" w14:textId="77777777" w:rsidR="005B0C9A" w:rsidRPr="00B61C40" w:rsidRDefault="005B0C9A" w:rsidP="00056799">
      <w:pPr>
        <w:tabs>
          <w:tab w:val="left" w:pos="1490"/>
        </w:tabs>
        <w:jc w:val="both"/>
        <w:rPr>
          <w:rFonts w:ascii="Arial" w:hAnsi="Arial" w:cs="Arial"/>
          <w:sz w:val="22"/>
          <w:szCs w:val="22"/>
        </w:rPr>
      </w:pPr>
    </w:p>
    <w:p w14:paraId="5C8F7D9E" w14:textId="77777777" w:rsidR="005B0C9A" w:rsidRPr="00B61C40" w:rsidRDefault="005B0C9A" w:rsidP="00056799">
      <w:pPr>
        <w:pStyle w:val="Heading1"/>
        <w:ind w:left="384"/>
        <w:jc w:val="both"/>
        <w:rPr>
          <w:rFonts w:ascii="Arial" w:hAnsi="Arial" w:cs="Arial"/>
          <w:sz w:val="22"/>
          <w:szCs w:val="22"/>
        </w:rPr>
      </w:pPr>
      <w:bookmarkStart w:id="3" w:name="_Toc115179657"/>
      <w:r w:rsidRPr="00B61C40">
        <w:rPr>
          <w:rFonts w:ascii="Arial" w:hAnsi="Arial" w:cs="Arial"/>
          <w:color w:val="696764"/>
          <w:sz w:val="22"/>
          <w:szCs w:val="22"/>
        </w:rPr>
        <w:t>Summary</w:t>
      </w:r>
      <w:r w:rsidRPr="00B61C40">
        <w:rPr>
          <w:rFonts w:ascii="Arial" w:hAnsi="Arial" w:cs="Arial"/>
          <w:color w:val="696764"/>
          <w:spacing w:val="-2"/>
          <w:sz w:val="22"/>
          <w:szCs w:val="22"/>
        </w:rPr>
        <w:t xml:space="preserve"> </w:t>
      </w:r>
      <w:r w:rsidRPr="00B61C40">
        <w:rPr>
          <w:rFonts w:ascii="Arial" w:hAnsi="Arial" w:cs="Arial"/>
          <w:color w:val="696764"/>
          <w:sz w:val="22"/>
          <w:szCs w:val="22"/>
        </w:rPr>
        <w:t>of</w:t>
      </w:r>
      <w:r w:rsidRPr="00B61C40">
        <w:rPr>
          <w:rFonts w:ascii="Arial" w:hAnsi="Arial" w:cs="Arial"/>
          <w:color w:val="696764"/>
          <w:spacing w:val="-1"/>
          <w:sz w:val="22"/>
          <w:szCs w:val="22"/>
        </w:rPr>
        <w:t xml:space="preserve"> </w:t>
      </w:r>
      <w:r w:rsidRPr="00B61C40">
        <w:rPr>
          <w:rFonts w:ascii="Arial" w:hAnsi="Arial" w:cs="Arial"/>
          <w:color w:val="696764"/>
          <w:sz w:val="22"/>
          <w:szCs w:val="22"/>
        </w:rPr>
        <w:t>Recommendations</w:t>
      </w:r>
      <w:bookmarkEnd w:id="3"/>
    </w:p>
    <w:p w14:paraId="07D30DD6" w14:textId="77777777" w:rsidR="005B0C9A" w:rsidRPr="00B61C40" w:rsidRDefault="005B0C9A" w:rsidP="00056799">
      <w:pPr>
        <w:pStyle w:val="BodyText"/>
        <w:spacing w:before="150" w:line="266" w:lineRule="auto"/>
        <w:ind w:left="384" w:right="1111"/>
        <w:jc w:val="both"/>
      </w:pPr>
      <w:r w:rsidRPr="00B61C40">
        <w:t>This summary lists the recommendations arising from this Review and includes cross-references to</w:t>
      </w:r>
      <w:r w:rsidRPr="00B61C40">
        <w:rPr>
          <w:spacing w:val="-59"/>
        </w:rPr>
        <w:t xml:space="preserve"> </w:t>
      </w:r>
      <w:r w:rsidRPr="00B61C40">
        <w:t>further</w:t>
      </w:r>
      <w:r w:rsidRPr="00B61C40">
        <w:rPr>
          <w:spacing w:val="-2"/>
        </w:rPr>
        <w:t xml:space="preserve"> </w:t>
      </w:r>
      <w:r w:rsidRPr="00B61C40">
        <w:t>detail provided in</w:t>
      </w:r>
      <w:r w:rsidRPr="00B61C40">
        <w:rPr>
          <w:spacing w:val="-2"/>
        </w:rPr>
        <w:t xml:space="preserve"> </w:t>
      </w:r>
      <w:r w:rsidRPr="00B61C40">
        <w:t>this</w:t>
      </w:r>
      <w:r w:rsidRPr="00B61C40">
        <w:rPr>
          <w:spacing w:val="1"/>
        </w:rPr>
        <w:t xml:space="preserve"> </w:t>
      </w:r>
      <w:r w:rsidRPr="00B61C40">
        <w:t>Report.</w:t>
      </w:r>
    </w:p>
    <w:p w14:paraId="46C692C0" w14:textId="77777777" w:rsidR="005B0C9A" w:rsidRPr="00B61C40" w:rsidRDefault="005B0C9A" w:rsidP="00056799">
      <w:pPr>
        <w:pStyle w:val="BodyText"/>
        <w:spacing w:before="10"/>
        <w:jc w:val="both"/>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6976"/>
        <w:gridCol w:w="1134"/>
        <w:gridCol w:w="993"/>
      </w:tblGrid>
      <w:tr w:rsidR="005B0C9A" w:rsidRPr="00B61C40" w14:paraId="7A7F4A40" w14:textId="77777777" w:rsidTr="007F68B4">
        <w:trPr>
          <w:trHeight w:val="292"/>
        </w:trPr>
        <w:tc>
          <w:tcPr>
            <w:tcW w:w="8505" w:type="dxa"/>
            <w:gridSpan w:val="2"/>
            <w:vMerge w:val="restart"/>
            <w:shd w:val="clear" w:color="auto" w:fill="D9D9D9"/>
          </w:tcPr>
          <w:p w14:paraId="4AF89894" w14:textId="77777777" w:rsidR="005B0C9A" w:rsidRPr="00B61C40" w:rsidRDefault="005B0C9A" w:rsidP="00056799">
            <w:pPr>
              <w:pStyle w:val="TableParagraph"/>
              <w:spacing w:before="172"/>
              <w:ind w:left="107"/>
              <w:jc w:val="both"/>
            </w:pPr>
            <w:r w:rsidRPr="00B61C40">
              <w:rPr>
                <w:color w:val="2D74B5"/>
              </w:rPr>
              <w:t>Recommendation</w:t>
            </w:r>
          </w:p>
        </w:tc>
        <w:tc>
          <w:tcPr>
            <w:tcW w:w="2127" w:type="dxa"/>
            <w:gridSpan w:val="2"/>
            <w:shd w:val="clear" w:color="auto" w:fill="D9D9D9"/>
          </w:tcPr>
          <w:p w14:paraId="3E0254E2" w14:textId="77777777" w:rsidR="005B0C9A" w:rsidRPr="00B61C40" w:rsidRDefault="005B0C9A" w:rsidP="00056799">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5B0C9A" w:rsidRPr="00B61C40" w14:paraId="42395D35" w14:textId="77777777" w:rsidTr="007F68B4">
        <w:trPr>
          <w:trHeight w:val="292"/>
        </w:trPr>
        <w:tc>
          <w:tcPr>
            <w:tcW w:w="8505" w:type="dxa"/>
            <w:gridSpan w:val="2"/>
            <w:vMerge/>
            <w:tcBorders>
              <w:top w:val="nil"/>
            </w:tcBorders>
            <w:shd w:val="clear" w:color="auto" w:fill="D9D9D9"/>
          </w:tcPr>
          <w:p w14:paraId="00506587" w14:textId="77777777" w:rsidR="005B0C9A" w:rsidRPr="00B61C40" w:rsidRDefault="005B0C9A" w:rsidP="00056799">
            <w:pPr>
              <w:jc w:val="both"/>
              <w:rPr>
                <w:rFonts w:ascii="Arial" w:hAnsi="Arial" w:cs="Arial"/>
                <w:sz w:val="22"/>
                <w:szCs w:val="22"/>
              </w:rPr>
            </w:pPr>
          </w:p>
        </w:tc>
        <w:tc>
          <w:tcPr>
            <w:tcW w:w="1134" w:type="dxa"/>
            <w:shd w:val="clear" w:color="auto" w:fill="D9D9D9"/>
          </w:tcPr>
          <w:p w14:paraId="27538B4A" w14:textId="77777777" w:rsidR="005B0C9A" w:rsidRPr="00B61C40" w:rsidRDefault="005B0C9A" w:rsidP="00056799">
            <w:pPr>
              <w:pStyle w:val="TableParagraph"/>
              <w:spacing w:before="21" w:line="251" w:lineRule="exact"/>
              <w:ind w:left="33" w:right="32"/>
              <w:jc w:val="both"/>
            </w:pPr>
            <w:r w:rsidRPr="00B61C40">
              <w:rPr>
                <w:color w:val="2D74B5"/>
              </w:rPr>
              <w:t>Section</w:t>
            </w:r>
          </w:p>
        </w:tc>
        <w:tc>
          <w:tcPr>
            <w:tcW w:w="993" w:type="dxa"/>
            <w:shd w:val="clear" w:color="auto" w:fill="D9D9D9"/>
          </w:tcPr>
          <w:p w14:paraId="4B1365E8" w14:textId="77777777" w:rsidR="005B0C9A" w:rsidRPr="00B61C40" w:rsidRDefault="005B0C9A" w:rsidP="00056799">
            <w:pPr>
              <w:pStyle w:val="TableParagraph"/>
              <w:spacing w:before="21" w:line="251" w:lineRule="exact"/>
              <w:ind w:left="148" w:right="139"/>
              <w:jc w:val="both"/>
            </w:pPr>
            <w:r w:rsidRPr="00B61C40">
              <w:rPr>
                <w:color w:val="2D74B5"/>
              </w:rPr>
              <w:t>Page</w:t>
            </w:r>
          </w:p>
        </w:tc>
      </w:tr>
      <w:tr w:rsidR="005B0C9A" w:rsidRPr="00B61C40" w14:paraId="660FEF41" w14:textId="77777777" w:rsidTr="007F68B4">
        <w:trPr>
          <w:trHeight w:val="1919"/>
        </w:trPr>
        <w:tc>
          <w:tcPr>
            <w:tcW w:w="1529" w:type="dxa"/>
            <w:shd w:val="clear" w:color="auto" w:fill="D9E1F3"/>
          </w:tcPr>
          <w:p w14:paraId="2DB9919F" w14:textId="77777777" w:rsidR="005B0C9A" w:rsidRPr="00B61C40" w:rsidRDefault="005B0C9A" w:rsidP="007F68B4">
            <w:pPr>
              <w:pStyle w:val="TableParagraph"/>
              <w:tabs>
                <w:tab w:val="left" w:pos="180"/>
              </w:tabs>
              <w:ind w:left="36"/>
              <w:jc w:val="both"/>
            </w:pPr>
            <w:r w:rsidRPr="00B61C40">
              <w:t>1</w:t>
            </w:r>
          </w:p>
        </w:tc>
        <w:tc>
          <w:tcPr>
            <w:tcW w:w="6976" w:type="dxa"/>
            <w:shd w:val="clear" w:color="auto" w:fill="D9E1F3"/>
          </w:tcPr>
          <w:p w14:paraId="431452A9" w14:textId="77777777" w:rsidR="005B0C9A" w:rsidRPr="00B61C40" w:rsidRDefault="005B0C9A" w:rsidP="00056799">
            <w:pPr>
              <w:pStyle w:val="TableParagraph"/>
              <w:numPr>
                <w:ilvl w:val="0"/>
                <w:numId w:val="53"/>
              </w:numPr>
              <w:tabs>
                <w:tab w:val="left" w:pos="685"/>
                <w:tab w:val="left" w:pos="686"/>
              </w:tabs>
              <w:spacing w:before="93" w:line="264" w:lineRule="auto"/>
              <w:ind w:right="375"/>
              <w:jc w:val="both"/>
            </w:pPr>
            <w:r w:rsidRPr="00B61C40">
              <w:t>Legislate to</w:t>
            </w:r>
            <w:r w:rsidRPr="00B61C40">
              <w:rPr>
                <w:spacing w:val="-3"/>
              </w:rPr>
              <w:t xml:space="preserve"> </w:t>
            </w:r>
            <w:r w:rsidRPr="00B61C40">
              <w:t>integrate</w:t>
            </w:r>
            <w:r w:rsidRPr="00B61C40">
              <w:rPr>
                <w:spacing w:val="-3"/>
              </w:rPr>
              <w:t xml:space="preserve"> </w:t>
            </w:r>
            <w:r w:rsidRPr="00B61C40">
              <w:t>the</w:t>
            </w:r>
            <w:r w:rsidRPr="00B61C40">
              <w:rPr>
                <w:spacing w:val="-3"/>
              </w:rPr>
              <w:t xml:space="preserve"> </w:t>
            </w:r>
            <w:r w:rsidRPr="00B61C40">
              <w:t>organisation,</w:t>
            </w:r>
            <w:r w:rsidRPr="00B61C40">
              <w:rPr>
                <w:spacing w:val="-1"/>
              </w:rPr>
              <w:t xml:space="preserve"> </w:t>
            </w:r>
            <w:r w:rsidRPr="00B61C40">
              <w:t>functions</w:t>
            </w:r>
            <w:r w:rsidRPr="00B61C40">
              <w:rPr>
                <w:spacing w:val="-3"/>
              </w:rPr>
              <w:t xml:space="preserve"> </w:t>
            </w:r>
            <w:r w:rsidRPr="00B61C40">
              <w:t>and</w:t>
            </w:r>
            <w:r w:rsidRPr="00B61C40">
              <w:rPr>
                <w:spacing w:val="-1"/>
              </w:rPr>
              <w:t xml:space="preserve"> </w:t>
            </w:r>
            <w:r w:rsidRPr="00B61C40">
              <w:t>activities</w:t>
            </w:r>
            <w:r w:rsidRPr="00B61C40">
              <w:rPr>
                <w:spacing w:val="-3"/>
              </w:rPr>
              <w:t xml:space="preserve"> </w:t>
            </w:r>
            <w:r w:rsidRPr="00B61C40">
              <w:t>of</w:t>
            </w:r>
            <w:r w:rsidRPr="00B61C40">
              <w:rPr>
                <w:spacing w:val="-2"/>
              </w:rPr>
              <w:t xml:space="preserve"> </w:t>
            </w:r>
            <w:r w:rsidRPr="00B61C40">
              <w:t>TFS</w:t>
            </w:r>
            <w:r w:rsidRPr="00B61C40">
              <w:rPr>
                <w:spacing w:val="-58"/>
              </w:rPr>
              <w:t xml:space="preserve"> </w:t>
            </w:r>
            <w:r w:rsidRPr="00B61C40">
              <w:t>and SES.</w:t>
            </w:r>
          </w:p>
          <w:p w14:paraId="7DB3E552" w14:textId="77777777" w:rsidR="005B0C9A" w:rsidRPr="00B61C40" w:rsidRDefault="005B0C9A" w:rsidP="00056799">
            <w:pPr>
              <w:pStyle w:val="TableParagraph"/>
              <w:numPr>
                <w:ilvl w:val="0"/>
                <w:numId w:val="53"/>
              </w:numPr>
              <w:tabs>
                <w:tab w:val="left" w:pos="685"/>
                <w:tab w:val="left" w:pos="686"/>
              </w:tabs>
              <w:spacing w:before="66" w:line="264" w:lineRule="auto"/>
              <w:ind w:right="300"/>
              <w:jc w:val="both"/>
            </w:pPr>
            <w:r w:rsidRPr="00B61C40">
              <w:t xml:space="preserve">Make consequential amendments to the </w:t>
            </w:r>
            <w:r w:rsidRPr="00B61C40">
              <w:rPr>
                <w:i/>
              </w:rPr>
              <w:t>Emergency Management Act</w:t>
            </w:r>
            <w:r w:rsidRPr="00B61C40">
              <w:rPr>
                <w:i/>
                <w:spacing w:val="-59"/>
              </w:rPr>
              <w:t xml:space="preserve"> </w:t>
            </w:r>
            <w:r w:rsidRPr="00B61C40">
              <w:rPr>
                <w:i/>
              </w:rPr>
              <w:t>2006</w:t>
            </w:r>
            <w:r w:rsidRPr="00B61C40">
              <w:t>, having regard to Recommendation 26 that the new integrated</w:t>
            </w:r>
            <w:r w:rsidRPr="00B61C40">
              <w:rPr>
                <w:spacing w:val="1"/>
              </w:rPr>
              <w:t xml:space="preserve"> </w:t>
            </w:r>
            <w:r w:rsidRPr="00B61C40">
              <w:t>service preserve and recognise the role of volunteers/units in order to</w:t>
            </w:r>
            <w:r w:rsidRPr="00B61C40">
              <w:rPr>
                <w:spacing w:val="-59"/>
              </w:rPr>
              <w:t xml:space="preserve"> </w:t>
            </w:r>
            <w:r w:rsidRPr="00B61C40">
              <w:t>ensure</w:t>
            </w:r>
            <w:r w:rsidRPr="00B61C40">
              <w:rPr>
                <w:spacing w:val="-3"/>
              </w:rPr>
              <w:t xml:space="preserve"> </w:t>
            </w:r>
            <w:r w:rsidRPr="00B61C40">
              <w:t>future capability</w:t>
            </w:r>
            <w:r w:rsidRPr="00B61C40">
              <w:rPr>
                <w:spacing w:val="-2"/>
              </w:rPr>
              <w:t xml:space="preserve"> </w:t>
            </w:r>
            <w:r w:rsidRPr="00B61C40">
              <w:t>at</w:t>
            </w:r>
            <w:r w:rsidRPr="00B61C40">
              <w:rPr>
                <w:spacing w:val="1"/>
              </w:rPr>
              <w:t xml:space="preserve"> </w:t>
            </w:r>
            <w:r w:rsidRPr="00B61C40">
              <w:t>a</w:t>
            </w:r>
            <w:r w:rsidRPr="00B61C40">
              <w:rPr>
                <w:spacing w:val="-3"/>
              </w:rPr>
              <w:t xml:space="preserve"> </w:t>
            </w:r>
            <w:r w:rsidRPr="00B61C40">
              <w:t>community</w:t>
            </w:r>
            <w:r w:rsidRPr="00B61C40">
              <w:rPr>
                <w:spacing w:val="-2"/>
              </w:rPr>
              <w:t xml:space="preserve"> </w:t>
            </w:r>
            <w:r w:rsidRPr="00B61C40">
              <w:t>level.</w:t>
            </w:r>
          </w:p>
        </w:tc>
        <w:tc>
          <w:tcPr>
            <w:tcW w:w="1134" w:type="dxa"/>
            <w:shd w:val="clear" w:color="auto" w:fill="D9E1F3"/>
          </w:tcPr>
          <w:p w14:paraId="79718960" w14:textId="77777777" w:rsidR="005B0C9A" w:rsidRPr="00B61C40" w:rsidRDefault="005B0C9A" w:rsidP="00056799">
            <w:pPr>
              <w:pStyle w:val="TableParagraph"/>
              <w:ind w:left="8"/>
              <w:jc w:val="both"/>
            </w:pPr>
            <w:r w:rsidRPr="00B61C40">
              <w:t>3</w:t>
            </w:r>
          </w:p>
        </w:tc>
        <w:tc>
          <w:tcPr>
            <w:tcW w:w="993" w:type="dxa"/>
            <w:shd w:val="clear" w:color="auto" w:fill="D9E1F3"/>
          </w:tcPr>
          <w:p w14:paraId="13B01B31" w14:textId="4F86CEAB" w:rsidR="005B0C9A" w:rsidRPr="00B61C40" w:rsidRDefault="00346F95" w:rsidP="00056799">
            <w:pPr>
              <w:pStyle w:val="TableParagraph"/>
              <w:ind w:left="148" w:right="139"/>
              <w:jc w:val="both"/>
            </w:pPr>
            <w:hyperlink w:anchor="_bookmark19" w:history="1">
              <w:r w:rsidR="005B0C9A" w:rsidRPr="00B61C40">
                <w:t>34</w:t>
              </w:r>
            </w:hyperlink>
          </w:p>
        </w:tc>
      </w:tr>
      <w:tr w:rsidR="005B0C9A" w:rsidRPr="00B61C40" w14:paraId="11705A8B" w14:textId="77777777" w:rsidTr="007F68B4">
        <w:trPr>
          <w:trHeight w:val="1000"/>
        </w:trPr>
        <w:tc>
          <w:tcPr>
            <w:tcW w:w="1529" w:type="dxa"/>
            <w:shd w:val="clear" w:color="auto" w:fill="D9E1F3"/>
          </w:tcPr>
          <w:p w14:paraId="0C5A8342" w14:textId="77777777" w:rsidR="005B0C9A" w:rsidRPr="00B61C40" w:rsidRDefault="005B0C9A" w:rsidP="00056799">
            <w:pPr>
              <w:pStyle w:val="TableParagraph"/>
              <w:ind w:left="6"/>
              <w:jc w:val="both"/>
            </w:pPr>
            <w:r w:rsidRPr="00B61C40">
              <w:t>2</w:t>
            </w:r>
          </w:p>
        </w:tc>
        <w:tc>
          <w:tcPr>
            <w:tcW w:w="6976" w:type="dxa"/>
            <w:shd w:val="clear" w:color="auto" w:fill="D9E1F3"/>
          </w:tcPr>
          <w:p w14:paraId="076A2B02" w14:textId="77777777" w:rsidR="005B0C9A" w:rsidRPr="00B61C40" w:rsidRDefault="005B0C9A" w:rsidP="00056799">
            <w:pPr>
              <w:pStyle w:val="TableParagraph"/>
              <w:numPr>
                <w:ilvl w:val="0"/>
                <w:numId w:val="52"/>
              </w:numPr>
              <w:tabs>
                <w:tab w:val="left" w:pos="685"/>
                <w:tab w:val="left" w:pos="686"/>
              </w:tabs>
              <w:spacing w:before="93" w:line="264" w:lineRule="auto"/>
              <w:ind w:right="125"/>
              <w:jc w:val="both"/>
            </w:pPr>
            <w:r w:rsidRPr="00B61C40">
              <w:t>Ensure that the functions carried out by the Director SES continue to be</w:t>
            </w:r>
            <w:r w:rsidRPr="00B61C40">
              <w:rPr>
                <w:spacing w:val="-59"/>
              </w:rPr>
              <w:t xml:space="preserve"> </w:t>
            </w:r>
            <w:r w:rsidRPr="00B61C40">
              <w:t xml:space="preserve">performed as outlined in the </w:t>
            </w:r>
            <w:r w:rsidRPr="00B61C40">
              <w:rPr>
                <w:i/>
              </w:rPr>
              <w:t>Emergency Management Act 2006</w:t>
            </w:r>
            <w:r w:rsidRPr="00B61C40">
              <w:t>, in</w:t>
            </w:r>
            <w:r w:rsidRPr="00B61C40">
              <w:rPr>
                <w:spacing w:val="1"/>
              </w:rPr>
              <w:t xml:space="preserve"> </w:t>
            </w:r>
            <w:r w:rsidRPr="00B61C40">
              <w:t>particular</w:t>
            </w:r>
            <w:r w:rsidRPr="00B61C40">
              <w:rPr>
                <w:spacing w:val="-2"/>
              </w:rPr>
              <w:t xml:space="preserve"> </w:t>
            </w:r>
            <w:r w:rsidRPr="00B61C40">
              <w:t>sections</w:t>
            </w:r>
            <w:r w:rsidRPr="00B61C40">
              <w:rPr>
                <w:spacing w:val="-2"/>
              </w:rPr>
              <w:t xml:space="preserve"> </w:t>
            </w:r>
            <w:r w:rsidRPr="00B61C40">
              <w:t>25-28</w:t>
            </w:r>
            <w:r w:rsidRPr="00B61C40">
              <w:rPr>
                <w:spacing w:val="-2"/>
              </w:rPr>
              <w:t xml:space="preserve"> </w:t>
            </w:r>
            <w:r w:rsidRPr="00B61C40">
              <w:t>inclusive of that</w:t>
            </w:r>
            <w:r w:rsidRPr="00B61C40">
              <w:rPr>
                <w:spacing w:val="2"/>
              </w:rPr>
              <w:t xml:space="preserve"> </w:t>
            </w:r>
            <w:r w:rsidRPr="00B61C40">
              <w:t>Act.</w:t>
            </w:r>
          </w:p>
        </w:tc>
        <w:tc>
          <w:tcPr>
            <w:tcW w:w="1134" w:type="dxa"/>
            <w:shd w:val="clear" w:color="auto" w:fill="D9E1F3"/>
          </w:tcPr>
          <w:p w14:paraId="0F00AFC4" w14:textId="77777777" w:rsidR="005B0C9A" w:rsidRPr="00B61C40" w:rsidRDefault="005B0C9A" w:rsidP="00056799">
            <w:pPr>
              <w:pStyle w:val="TableParagraph"/>
              <w:ind w:left="8"/>
              <w:jc w:val="both"/>
            </w:pPr>
            <w:r w:rsidRPr="00B61C40">
              <w:t>3</w:t>
            </w:r>
          </w:p>
        </w:tc>
        <w:tc>
          <w:tcPr>
            <w:tcW w:w="993" w:type="dxa"/>
            <w:shd w:val="clear" w:color="auto" w:fill="D9E1F3"/>
          </w:tcPr>
          <w:p w14:paraId="2863A2FC" w14:textId="01B35C67" w:rsidR="005B0C9A" w:rsidRPr="00B61C40" w:rsidRDefault="00346F95" w:rsidP="00056799">
            <w:pPr>
              <w:pStyle w:val="TableParagraph"/>
              <w:ind w:left="148" w:right="139"/>
              <w:jc w:val="both"/>
            </w:pPr>
            <w:hyperlink w:anchor="_bookmark20" w:history="1">
              <w:r w:rsidR="005B0C9A" w:rsidRPr="00B61C40">
                <w:t>34</w:t>
              </w:r>
            </w:hyperlink>
          </w:p>
        </w:tc>
      </w:tr>
      <w:tr w:rsidR="005B0C9A" w:rsidRPr="00B61C40" w14:paraId="26EE7623" w14:textId="77777777" w:rsidTr="007F68B4">
        <w:trPr>
          <w:trHeight w:val="3014"/>
        </w:trPr>
        <w:tc>
          <w:tcPr>
            <w:tcW w:w="1529" w:type="dxa"/>
            <w:shd w:val="clear" w:color="auto" w:fill="D9E1F3"/>
          </w:tcPr>
          <w:p w14:paraId="1E4E346E" w14:textId="77777777" w:rsidR="005B0C9A" w:rsidRPr="00B61C40" w:rsidRDefault="005B0C9A" w:rsidP="00056799">
            <w:pPr>
              <w:pStyle w:val="TableParagraph"/>
              <w:ind w:left="6"/>
              <w:jc w:val="both"/>
            </w:pPr>
            <w:r w:rsidRPr="00B61C40">
              <w:t>3</w:t>
            </w:r>
          </w:p>
        </w:tc>
        <w:tc>
          <w:tcPr>
            <w:tcW w:w="6976" w:type="dxa"/>
            <w:shd w:val="clear" w:color="auto" w:fill="D9E1F3"/>
          </w:tcPr>
          <w:p w14:paraId="393E20B3" w14:textId="77777777" w:rsidR="005B0C9A" w:rsidRPr="00B61C40" w:rsidRDefault="005B0C9A" w:rsidP="00056799">
            <w:pPr>
              <w:pStyle w:val="TableParagraph"/>
              <w:numPr>
                <w:ilvl w:val="0"/>
                <w:numId w:val="51"/>
              </w:numPr>
              <w:tabs>
                <w:tab w:val="left" w:pos="685"/>
                <w:tab w:val="left" w:pos="686"/>
              </w:tabs>
              <w:spacing w:before="93" w:line="266" w:lineRule="auto"/>
              <w:ind w:right="190"/>
              <w:jc w:val="both"/>
            </w:pPr>
            <w:r w:rsidRPr="00B61C40">
              <w:t>Prescribe in the regulations to the new legislation – or equivalent</w:t>
            </w:r>
            <w:r w:rsidRPr="00B61C40">
              <w:rPr>
                <w:spacing w:val="1"/>
              </w:rPr>
              <w:t xml:space="preserve"> </w:t>
            </w:r>
            <w:r w:rsidRPr="00B61C40">
              <w:t>mechanism – the following as functions of the proposed new Tasmania</w:t>
            </w:r>
            <w:r w:rsidRPr="00B61C40">
              <w:rPr>
                <w:spacing w:val="-59"/>
              </w:rPr>
              <w:t xml:space="preserve"> </w:t>
            </w:r>
            <w:r w:rsidRPr="00B61C40">
              <w:t>Fire and Emergency Services (TFES) entity (subject to appropriate</w:t>
            </w:r>
            <w:r w:rsidRPr="00B61C40">
              <w:rPr>
                <w:spacing w:val="1"/>
              </w:rPr>
              <w:t xml:space="preserve"> </w:t>
            </w:r>
            <w:r w:rsidRPr="00B61C40">
              <w:t>resource</w:t>
            </w:r>
            <w:r w:rsidRPr="00B61C40">
              <w:rPr>
                <w:spacing w:val="-3"/>
              </w:rPr>
              <w:t xml:space="preserve"> </w:t>
            </w:r>
            <w:r w:rsidRPr="00B61C40">
              <w:t>allocation and</w:t>
            </w:r>
            <w:r w:rsidRPr="00B61C40">
              <w:rPr>
                <w:spacing w:val="-2"/>
              </w:rPr>
              <w:t xml:space="preserve"> </w:t>
            </w:r>
            <w:r w:rsidRPr="00B61C40">
              <w:t>training):</w:t>
            </w:r>
          </w:p>
          <w:p w14:paraId="1F794A79" w14:textId="77777777" w:rsidR="005B0C9A" w:rsidRPr="00B61C40" w:rsidRDefault="005B0C9A" w:rsidP="00056799">
            <w:pPr>
              <w:pStyle w:val="TableParagraph"/>
              <w:numPr>
                <w:ilvl w:val="1"/>
                <w:numId w:val="51"/>
              </w:numPr>
              <w:tabs>
                <w:tab w:val="left" w:pos="1270"/>
              </w:tabs>
              <w:spacing w:before="73" w:line="256" w:lineRule="auto"/>
              <w:ind w:right="622"/>
              <w:jc w:val="both"/>
            </w:pPr>
            <w:r w:rsidRPr="00B61C40">
              <w:t>activities currently undertaken by SES (flood, storm/tempest,</w:t>
            </w:r>
            <w:r w:rsidRPr="00B61C40">
              <w:rPr>
                <w:spacing w:val="-59"/>
              </w:rPr>
              <w:t xml:space="preserve"> </w:t>
            </w:r>
            <w:r w:rsidRPr="00B61C40">
              <w:t>earthquake, tsunami, space debris re-entry, and search and</w:t>
            </w:r>
            <w:r w:rsidRPr="00B61C40">
              <w:rPr>
                <w:spacing w:val="1"/>
              </w:rPr>
              <w:t xml:space="preserve"> </w:t>
            </w:r>
            <w:r w:rsidRPr="00B61C40">
              <w:t>rescue)</w:t>
            </w:r>
          </w:p>
          <w:p w14:paraId="0B2AB676" w14:textId="77777777" w:rsidR="005B0C9A" w:rsidRPr="00B61C40" w:rsidRDefault="005B0C9A" w:rsidP="00056799">
            <w:pPr>
              <w:pStyle w:val="TableParagraph"/>
              <w:numPr>
                <w:ilvl w:val="1"/>
                <w:numId w:val="51"/>
              </w:numPr>
              <w:tabs>
                <w:tab w:val="left" w:pos="1270"/>
              </w:tabs>
              <w:spacing w:before="90" w:line="247" w:lineRule="auto"/>
              <w:ind w:right="157"/>
              <w:jc w:val="both"/>
            </w:pPr>
            <w:r w:rsidRPr="00B61C40">
              <w:t>provision of support at events like road crash rescue, response to</w:t>
            </w:r>
            <w:r w:rsidRPr="00B61C40">
              <w:rPr>
                <w:spacing w:val="-59"/>
              </w:rPr>
              <w:t xml:space="preserve"> </w:t>
            </w:r>
            <w:r w:rsidRPr="00B61C40">
              <w:t>heatwaves,</w:t>
            </w:r>
            <w:r w:rsidRPr="00B61C40">
              <w:rPr>
                <w:spacing w:val="-2"/>
              </w:rPr>
              <w:t xml:space="preserve"> </w:t>
            </w:r>
            <w:r w:rsidRPr="00B61C40">
              <w:t>and</w:t>
            </w:r>
            <w:r w:rsidRPr="00B61C40">
              <w:rPr>
                <w:spacing w:val="-2"/>
              </w:rPr>
              <w:t xml:space="preserve"> </w:t>
            </w:r>
            <w:r w:rsidRPr="00B61C40">
              <w:t>counter-terrorism.</w:t>
            </w:r>
          </w:p>
        </w:tc>
        <w:tc>
          <w:tcPr>
            <w:tcW w:w="1134" w:type="dxa"/>
            <w:shd w:val="clear" w:color="auto" w:fill="D9E1F3"/>
          </w:tcPr>
          <w:p w14:paraId="00A690AE" w14:textId="77777777" w:rsidR="005B0C9A" w:rsidRPr="00B61C40" w:rsidRDefault="005B0C9A" w:rsidP="00056799">
            <w:pPr>
              <w:pStyle w:val="TableParagraph"/>
              <w:ind w:left="8"/>
              <w:jc w:val="both"/>
            </w:pPr>
            <w:r w:rsidRPr="00B61C40">
              <w:t>3</w:t>
            </w:r>
          </w:p>
        </w:tc>
        <w:tc>
          <w:tcPr>
            <w:tcW w:w="993" w:type="dxa"/>
            <w:shd w:val="clear" w:color="auto" w:fill="D9E1F3"/>
          </w:tcPr>
          <w:p w14:paraId="11092573" w14:textId="58EC8C92" w:rsidR="005B0C9A" w:rsidRPr="00B61C40" w:rsidRDefault="00346F95" w:rsidP="00056799">
            <w:pPr>
              <w:pStyle w:val="TableParagraph"/>
              <w:ind w:left="148" w:right="139"/>
              <w:jc w:val="both"/>
            </w:pPr>
            <w:hyperlink w:anchor="_bookmark24" w:history="1">
              <w:r w:rsidR="005B0C9A" w:rsidRPr="00B61C40">
                <w:t>38</w:t>
              </w:r>
            </w:hyperlink>
          </w:p>
        </w:tc>
      </w:tr>
      <w:tr w:rsidR="005B0C9A" w:rsidRPr="00B61C40" w14:paraId="4DDE6EE4" w14:textId="77777777" w:rsidTr="007F68B4">
        <w:trPr>
          <w:trHeight w:val="2282"/>
        </w:trPr>
        <w:tc>
          <w:tcPr>
            <w:tcW w:w="1529" w:type="dxa"/>
            <w:shd w:val="clear" w:color="auto" w:fill="D9E1F3"/>
          </w:tcPr>
          <w:p w14:paraId="2536D507" w14:textId="77777777" w:rsidR="005B0C9A" w:rsidRPr="00B61C40" w:rsidRDefault="005B0C9A" w:rsidP="00056799">
            <w:pPr>
              <w:pStyle w:val="TableParagraph"/>
              <w:spacing w:before="130"/>
              <w:ind w:left="6"/>
              <w:jc w:val="both"/>
            </w:pPr>
            <w:r w:rsidRPr="00B61C40">
              <w:t>4</w:t>
            </w:r>
          </w:p>
        </w:tc>
        <w:tc>
          <w:tcPr>
            <w:tcW w:w="6976" w:type="dxa"/>
            <w:shd w:val="clear" w:color="auto" w:fill="D9E1F3"/>
          </w:tcPr>
          <w:p w14:paraId="43972122" w14:textId="77777777" w:rsidR="005B0C9A" w:rsidRPr="00B61C40" w:rsidRDefault="005B0C9A" w:rsidP="00056799">
            <w:pPr>
              <w:pStyle w:val="TableParagraph"/>
              <w:numPr>
                <w:ilvl w:val="0"/>
                <w:numId w:val="50"/>
              </w:numPr>
              <w:tabs>
                <w:tab w:val="left" w:pos="685"/>
                <w:tab w:val="left" w:pos="686"/>
              </w:tabs>
              <w:spacing w:before="96"/>
              <w:jc w:val="both"/>
            </w:pPr>
            <w:r w:rsidRPr="00B61C40">
              <w:t>Legislate</w:t>
            </w:r>
            <w:r w:rsidRPr="00B61C40">
              <w:rPr>
                <w:spacing w:val="-1"/>
              </w:rPr>
              <w:t xml:space="preserve"> </w:t>
            </w:r>
            <w:r w:rsidRPr="00B61C40">
              <w:t>to</w:t>
            </w:r>
            <w:r w:rsidRPr="00B61C40">
              <w:rPr>
                <w:spacing w:val="-3"/>
              </w:rPr>
              <w:t xml:space="preserve"> </w:t>
            </w:r>
            <w:r w:rsidRPr="00B61C40">
              <w:t>confirm:</w:t>
            </w:r>
          </w:p>
          <w:p w14:paraId="17DEDE4C" w14:textId="77777777" w:rsidR="005B0C9A" w:rsidRPr="00B61C40" w:rsidRDefault="005B0C9A" w:rsidP="00056799">
            <w:pPr>
              <w:pStyle w:val="TableParagraph"/>
              <w:numPr>
                <w:ilvl w:val="1"/>
                <w:numId w:val="50"/>
              </w:numPr>
              <w:tabs>
                <w:tab w:val="left" w:pos="1270"/>
              </w:tabs>
              <w:spacing w:before="105" w:line="247" w:lineRule="auto"/>
              <w:ind w:right="205"/>
              <w:jc w:val="both"/>
            </w:pPr>
            <w:r w:rsidRPr="00B61C40">
              <w:t>the functions for Tasmania Fire and Emergency Services (TFES)</w:t>
            </w:r>
            <w:r w:rsidRPr="00B61C40">
              <w:rPr>
                <w:spacing w:val="-59"/>
              </w:rPr>
              <w:t xml:space="preserve"> </w:t>
            </w:r>
            <w:r w:rsidRPr="00B61C40">
              <w:t>as</w:t>
            </w:r>
            <w:r w:rsidRPr="00B61C40">
              <w:rPr>
                <w:spacing w:val="-1"/>
              </w:rPr>
              <w:t xml:space="preserve"> </w:t>
            </w:r>
            <w:r w:rsidRPr="00B61C40">
              <w:t>outlined in</w:t>
            </w:r>
            <w:r w:rsidRPr="00B61C40">
              <w:rPr>
                <w:spacing w:val="1"/>
              </w:rPr>
              <w:t xml:space="preserve"> </w:t>
            </w:r>
            <w:r w:rsidRPr="00B61C40">
              <w:t>Section 3</w:t>
            </w:r>
            <w:r w:rsidRPr="00B61C40">
              <w:rPr>
                <w:spacing w:val="-4"/>
              </w:rPr>
              <w:t xml:space="preserve"> </w:t>
            </w:r>
            <w:r w:rsidRPr="00B61C40">
              <w:t>of</w:t>
            </w:r>
            <w:r w:rsidRPr="00B61C40">
              <w:rPr>
                <w:spacing w:val="-1"/>
              </w:rPr>
              <w:t xml:space="preserve"> </w:t>
            </w:r>
            <w:r w:rsidRPr="00B61C40">
              <w:t>this</w:t>
            </w:r>
            <w:r w:rsidRPr="00B61C40">
              <w:rPr>
                <w:spacing w:val="1"/>
              </w:rPr>
              <w:t xml:space="preserve"> </w:t>
            </w:r>
            <w:r w:rsidRPr="00B61C40">
              <w:t>Report</w:t>
            </w:r>
          </w:p>
          <w:p w14:paraId="5C02C999" w14:textId="77777777" w:rsidR="005B0C9A" w:rsidRPr="00B61C40" w:rsidRDefault="005B0C9A" w:rsidP="00056799">
            <w:pPr>
              <w:pStyle w:val="TableParagraph"/>
              <w:numPr>
                <w:ilvl w:val="1"/>
                <w:numId w:val="50"/>
              </w:numPr>
              <w:tabs>
                <w:tab w:val="left" w:pos="1270"/>
              </w:tabs>
              <w:spacing w:before="98" w:line="259" w:lineRule="auto"/>
              <w:ind w:right="227"/>
              <w:jc w:val="both"/>
            </w:pPr>
            <w:r w:rsidRPr="00B61C40">
              <w:t>(subject to finalisation of governance recommendations outlined</w:t>
            </w:r>
            <w:r w:rsidRPr="00B61C40">
              <w:rPr>
                <w:spacing w:val="1"/>
              </w:rPr>
              <w:t xml:space="preserve"> </w:t>
            </w:r>
            <w:r w:rsidRPr="00B61C40">
              <w:t>in Section 4 of this Report), the functions and roles of the Chief</w:t>
            </w:r>
            <w:r w:rsidRPr="00B61C40">
              <w:rPr>
                <w:spacing w:val="1"/>
              </w:rPr>
              <w:t xml:space="preserve"> </w:t>
            </w:r>
            <w:r w:rsidRPr="00B61C40">
              <w:t>Officer (or equivalent) as outlined in Section 3.5.3 of this Report,</w:t>
            </w:r>
            <w:r w:rsidRPr="00B61C40">
              <w:rPr>
                <w:spacing w:val="-59"/>
              </w:rPr>
              <w:t xml:space="preserve"> </w:t>
            </w:r>
            <w:r w:rsidRPr="00B61C40">
              <w:t>but</w:t>
            </w:r>
            <w:r w:rsidRPr="00B61C40">
              <w:rPr>
                <w:spacing w:val="1"/>
              </w:rPr>
              <w:t xml:space="preserve"> </w:t>
            </w:r>
            <w:r w:rsidRPr="00B61C40">
              <w:t>having</w:t>
            </w:r>
            <w:r w:rsidRPr="00B61C40">
              <w:rPr>
                <w:spacing w:val="-2"/>
              </w:rPr>
              <w:t xml:space="preserve"> </w:t>
            </w:r>
            <w:r w:rsidRPr="00B61C40">
              <w:t>regard</w:t>
            </w:r>
            <w:r w:rsidRPr="00B61C40">
              <w:rPr>
                <w:spacing w:val="-4"/>
              </w:rPr>
              <w:t xml:space="preserve"> </w:t>
            </w:r>
            <w:r w:rsidRPr="00B61C40">
              <w:t>to</w:t>
            </w:r>
            <w:r w:rsidRPr="00B61C40">
              <w:rPr>
                <w:spacing w:val="-2"/>
              </w:rPr>
              <w:t xml:space="preserve"> </w:t>
            </w:r>
            <w:r w:rsidRPr="00B61C40">
              <w:t>the</w:t>
            </w:r>
            <w:r w:rsidRPr="00B61C40">
              <w:rPr>
                <w:spacing w:val="-2"/>
              </w:rPr>
              <w:t xml:space="preserve"> </w:t>
            </w:r>
            <w:r w:rsidRPr="00B61C40">
              <w:t>alternative</w:t>
            </w:r>
            <w:r w:rsidRPr="00B61C40">
              <w:rPr>
                <w:spacing w:val="-2"/>
              </w:rPr>
              <w:t xml:space="preserve"> </w:t>
            </w:r>
            <w:r w:rsidRPr="00B61C40">
              <w:t>view</w:t>
            </w:r>
            <w:r w:rsidRPr="00B61C40">
              <w:rPr>
                <w:spacing w:val="-2"/>
              </w:rPr>
              <w:t xml:space="preserve"> </w:t>
            </w:r>
            <w:r w:rsidRPr="00B61C40">
              <w:t>offered</w:t>
            </w:r>
            <w:r w:rsidRPr="00B61C40">
              <w:rPr>
                <w:spacing w:val="-2"/>
              </w:rPr>
              <w:t xml:space="preserve"> </w:t>
            </w:r>
            <w:r w:rsidRPr="00B61C40">
              <w:t>in Section</w:t>
            </w:r>
            <w:r w:rsidRPr="00B61C40">
              <w:rPr>
                <w:spacing w:val="-1"/>
              </w:rPr>
              <w:t xml:space="preserve"> </w:t>
            </w:r>
            <w:r w:rsidRPr="00B61C40">
              <w:t>3.5.4.</w:t>
            </w:r>
          </w:p>
        </w:tc>
        <w:tc>
          <w:tcPr>
            <w:tcW w:w="1134" w:type="dxa"/>
            <w:shd w:val="clear" w:color="auto" w:fill="D9E1F3"/>
          </w:tcPr>
          <w:p w14:paraId="71FCD110" w14:textId="77777777" w:rsidR="005B0C9A" w:rsidRPr="00B61C40" w:rsidRDefault="005B0C9A" w:rsidP="00056799">
            <w:pPr>
              <w:pStyle w:val="TableParagraph"/>
              <w:spacing w:before="130"/>
              <w:ind w:left="8"/>
              <w:jc w:val="both"/>
            </w:pPr>
            <w:r w:rsidRPr="00B61C40">
              <w:t>3</w:t>
            </w:r>
          </w:p>
        </w:tc>
        <w:tc>
          <w:tcPr>
            <w:tcW w:w="993" w:type="dxa"/>
            <w:shd w:val="clear" w:color="auto" w:fill="D9E1F3"/>
          </w:tcPr>
          <w:p w14:paraId="0AED54E4" w14:textId="05D99CE1" w:rsidR="005B0C9A" w:rsidRPr="00B61C40" w:rsidRDefault="00346F95" w:rsidP="00056799">
            <w:pPr>
              <w:pStyle w:val="TableParagraph"/>
              <w:spacing w:before="130"/>
              <w:ind w:left="148" w:right="139"/>
              <w:jc w:val="both"/>
            </w:pPr>
            <w:hyperlink w:anchor="_bookmark25" w:history="1">
              <w:r w:rsidR="005B0C9A" w:rsidRPr="00B61C40">
                <w:t>39</w:t>
              </w:r>
            </w:hyperlink>
          </w:p>
        </w:tc>
      </w:tr>
      <w:tr w:rsidR="005B0C9A" w:rsidRPr="00B61C40" w14:paraId="668E2792" w14:textId="77777777" w:rsidTr="007F68B4">
        <w:trPr>
          <w:trHeight w:val="997"/>
        </w:trPr>
        <w:tc>
          <w:tcPr>
            <w:tcW w:w="1529" w:type="dxa"/>
            <w:shd w:val="clear" w:color="auto" w:fill="D9E1F3"/>
          </w:tcPr>
          <w:p w14:paraId="69510647" w14:textId="77777777" w:rsidR="005B0C9A" w:rsidRPr="00B61C40" w:rsidRDefault="005B0C9A" w:rsidP="00056799">
            <w:pPr>
              <w:pStyle w:val="TableParagraph"/>
              <w:ind w:left="6"/>
              <w:jc w:val="both"/>
            </w:pPr>
            <w:r w:rsidRPr="00B61C40">
              <w:t>5</w:t>
            </w:r>
          </w:p>
        </w:tc>
        <w:tc>
          <w:tcPr>
            <w:tcW w:w="6976" w:type="dxa"/>
            <w:shd w:val="clear" w:color="auto" w:fill="D9E1F3"/>
          </w:tcPr>
          <w:p w14:paraId="7B33190F" w14:textId="77777777" w:rsidR="005B0C9A" w:rsidRDefault="005B0C9A" w:rsidP="00056799">
            <w:pPr>
              <w:pStyle w:val="TableParagraph"/>
              <w:numPr>
                <w:ilvl w:val="0"/>
                <w:numId w:val="49"/>
              </w:numPr>
              <w:tabs>
                <w:tab w:val="left" w:pos="685"/>
                <w:tab w:val="left" w:pos="686"/>
              </w:tabs>
              <w:spacing w:before="93" w:line="264" w:lineRule="auto"/>
              <w:ind w:right="101"/>
              <w:jc w:val="both"/>
            </w:pPr>
            <w:r w:rsidRPr="00B61C40">
              <w:t>Do not combine the firefighting capabilities of Parks and Wildlife Service</w:t>
            </w:r>
            <w:r w:rsidRPr="00B61C40">
              <w:rPr>
                <w:spacing w:val="-59"/>
              </w:rPr>
              <w:t xml:space="preserve"> </w:t>
            </w:r>
            <w:r w:rsidRPr="00B61C40">
              <w:t>(PWS) and Sustainable Timber Australia (STT) with those of Tasmania</w:t>
            </w:r>
            <w:r w:rsidRPr="00B61C40">
              <w:rPr>
                <w:spacing w:val="1"/>
              </w:rPr>
              <w:t xml:space="preserve"> </w:t>
            </w:r>
            <w:r w:rsidRPr="00B61C40">
              <w:t>Fire</w:t>
            </w:r>
            <w:r w:rsidRPr="00B61C40">
              <w:rPr>
                <w:spacing w:val="-1"/>
              </w:rPr>
              <w:t xml:space="preserve"> </w:t>
            </w:r>
            <w:r w:rsidRPr="00B61C40">
              <w:t>and</w:t>
            </w:r>
            <w:r w:rsidRPr="00B61C40">
              <w:rPr>
                <w:spacing w:val="1"/>
              </w:rPr>
              <w:t xml:space="preserve"> </w:t>
            </w:r>
            <w:r w:rsidRPr="00B61C40">
              <w:t>Emergency</w:t>
            </w:r>
            <w:r w:rsidRPr="00B61C40">
              <w:rPr>
                <w:spacing w:val="1"/>
              </w:rPr>
              <w:t xml:space="preserve"> </w:t>
            </w:r>
            <w:r w:rsidRPr="00B61C40">
              <w:t>Services (TFES).</w:t>
            </w:r>
          </w:p>
          <w:p w14:paraId="50078C1E" w14:textId="77777777" w:rsidR="007F68B4" w:rsidRDefault="007F68B4" w:rsidP="007F68B4">
            <w:pPr>
              <w:pStyle w:val="TableParagraph"/>
              <w:tabs>
                <w:tab w:val="left" w:pos="685"/>
                <w:tab w:val="left" w:pos="686"/>
              </w:tabs>
              <w:spacing w:before="93" w:line="264" w:lineRule="auto"/>
              <w:ind w:right="101"/>
              <w:jc w:val="both"/>
            </w:pPr>
          </w:p>
          <w:p w14:paraId="646ACFBF" w14:textId="5699C7D1" w:rsidR="007F68B4" w:rsidRPr="00B61C40" w:rsidRDefault="007F68B4" w:rsidP="007F68B4">
            <w:pPr>
              <w:pStyle w:val="TableParagraph"/>
              <w:tabs>
                <w:tab w:val="left" w:pos="685"/>
                <w:tab w:val="left" w:pos="686"/>
              </w:tabs>
              <w:spacing w:before="93" w:line="264" w:lineRule="auto"/>
              <w:ind w:right="101"/>
              <w:jc w:val="both"/>
            </w:pPr>
          </w:p>
        </w:tc>
        <w:tc>
          <w:tcPr>
            <w:tcW w:w="1134" w:type="dxa"/>
            <w:shd w:val="clear" w:color="auto" w:fill="D9E1F3"/>
          </w:tcPr>
          <w:p w14:paraId="70B0B930" w14:textId="77777777" w:rsidR="005B0C9A" w:rsidRPr="00B61C40" w:rsidRDefault="005B0C9A" w:rsidP="00056799">
            <w:pPr>
              <w:pStyle w:val="TableParagraph"/>
              <w:ind w:left="8"/>
              <w:jc w:val="both"/>
            </w:pPr>
            <w:r w:rsidRPr="00B61C40">
              <w:t>3</w:t>
            </w:r>
          </w:p>
        </w:tc>
        <w:tc>
          <w:tcPr>
            <w:tcW w:w="993" w:type="dxa"/>
            <w:shd w:val="clear" w:color="auto" w:fill="D9E1F3"/>
          </w:tcPr>
          <w:p w14:paraId="46BD485E" w14:textId="08641412" w:rsidR="005B0C9A" w:rsidRPr="00B61C40" w:rsidRDefault="00346F95" w:rsidP="00056799">
            <w:pPr>
              <w:pStyle w:val="TableParagraph"/>
              <w:ind w:left="148" w:right="139"/>
              <w:jc w:val="both"/>
            </w:pPr>
            <w:hyperlink w:anchor="_bookmark28" w:history="1">
              <w:r w:rsidR="005B0C9A" w:rsidRPr="00B61C40">
                <w:t>42</w:t>
              </w:r>
            </w:hyperlink>
          </w:p>
        </w:tc>
      </w:tr>
      <w:tr w:rsidR="007F68B4" w:rsidRPr="00B61C40" w14:paraId="4BA70AB9" w14:textId="77777777" w:rsidTr="00FB408E">
        <w:trPr>
          <w:trHeight w:val="292"/>
        </w:trPr>
        <w:tc>
          <w:tcPr>
            <w:tcW w:w="8505" w:type="dxa"/>
            <w:gridSpan w:val="2"/>
            <w:vMerge w:val="restart"/>
            <w:shd w:val="clear" w:color="auto" w:fill="D9D9D9"/>
          </w:tcPr>
          <w:p w14:paraId="2AC3242B" w14:textId="77777777" w:rsidR="007F68B4" w:rsidRPr="00B61C40" w:rsidRDefault="007F68B4" w:rsidP="00FB408E">
            <w:pPr>
              <w:pStyle w:val="TableParagraph"/>
              <w:spacing w:before="172"/>
              <w:ind w:left="107"/>
              <w:jc w:val="both"/>
            </w:pPr>
            <w:bookmarkStart w:id="4" w:name="_Hlk115273334"/>
            <w:r w:rsidRPr="00B61C40">
              <w:rPr>
                <w:color w:val="2D74B5"/>
              </w:rPr>
              <w:lastRenderedPageBreak/>
              <w:t>Recommendation</w:t>
            </w:r>
          </w:p>
        </w:tc>
        <w:tc>
          <w:tcPr>
            <w:tcW w:w="2127" w:type="dxa"/>
            <w:gridSpan w:val="2"/>
            <w:shd w:val="clear" w:color="auto" w:fill="D9D9D9"/>
          </w:tcPr>
          <w:p w14:paraId="1B4F48C2" w14:textId="77777777" w:rsidR="007F68B4" w:rsidRPr="00B61C40" w:rsidRDefault="007F68B4"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7F68B4" w:rsidRPr="00B61C40" w14:paraId="171CCC99" w14:textId="77777777" w:rsidTr="00FB408E">
        <w:trPr>
          <w:trHeight w:val="292"/>
        </w:trPr>
        <w:tc>
          <w:tcPr>
            <w:tcW w:w="8505" w:type="dxa"/>
            <w:gridSpan w:val="2"/>
            <w:vMerge/>
            <w:tcBorders>
              <w:top w:val="nil"/>
            </w:tcBorders>
            <w:shd w:val="clear" w:color="auto" w:fill="D9D9D9"/>
          </w:tcPr>
          <w:p w14:paraId="625349A6" w14:textId="77777777" w:rsidR="007F68B4" w:rsidRPr="00B61C40" w:rsidRDefault="007F68B4" w:rsidP="00FB408E">
            <w:pPr>
              <w:jc w:val="both"/>
              <w:rPr>
                <w:rFonts w:ascii="Arial" w:hAnsi="Arial" w:cs="Arial"/>
                <w:sz w:val="22"/>
                <w:szCs w:val="22"/>
              </w:rPr>
            </w:pPr>
          </w:p>
        </w:tc>
        <w:tc>
          <w:tcPr>
            <w:tcW w:w="1134" w:type="dxa"/>
            <w:shd w:val="clear" w:color="auto" w:fill="D9D9D9"/>
          </w:tcPr>
          <w:p w14:paraId="303D5B78" w14:textId="77777777" w:rsidR="007F68B4" w:rsidRPr="00B61C40" w:rsidRDefault="007F68B4"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3CEACF3B" w14:textId="77777777" w:rsidR="007F68B4" w:rsidRPr="00B61C40" w:rsidRDefault="007F68B4" w:rsidP="00FB408E">
            <w:pPr>
              <w:pStyle w:val="TableParagraph"/>
              <w:spacing w:before="21" w:line="251" w:lineRule="exact"/>
              <w:ind w:left="148" w:right="139"/>
              <w:jc w:val="both"/>
            </w:pPr>
            <w:r w:rsidRPr="00B61C40">
              <w:rPr>
                <w:color w:val="2D74B5"/>
              </w:rPr>
              <w:t>Page</w:t>
            </w:r>
          </w:p>
        </w:tc>
      </w:tr>
      <w:bookmarkEnd w:id="4"/>
      <w:tr w:rsidR="005B0C9A" w:rsidRPr="00B61C40" w14:paraId="74D8BCA8" w14:textId="77777777" w:rsidTr="007F68B4">
        <w:trPr>
          <w:trHeight w:val="1000"/>
        </w:trPr>
        <w:tc>
          <w:tcPr>
            <w:tcW w:w="1529" w:type="dxa"/>
            <w:shd w:val="clear" w:color="auto" w:fill="D9E1F3"/>
          </w:tcPr>
          <w:p w14:paraId="7690FBAE" w14:textId="77777777" w:rsidR="005B0C9A" w:rsidRPr="00B61C40" w:rsidRDefault="005B0C9A" w:rsidP="00056799">
            <w:pPr>
              <w:pStyle w:val="TableParagraph"/>
              <w:spacing w:before="129"/>
              <w:ind w:left="6"/>
              <w:jc w:val="both"/>
            </w:pPr>
            <w:r w:rsidRPr="00B61C40">
              <w:t>6</w:t>
            </w:r>
          </w:p>
        </w:tc>
        <w:tc>
          <w:tcPr>
            <w:tcW w:w="6976" w:type="dxa"/>
            <w:shd w:val="clear" w:color="auto" w:fill="D9E1F3"/>
          </w:tcPr>
          <w:p w14:paraId="331434C7" w14:textId="77777777" w:rsidR="005B0C9A" w:rsidRPr="00B61C40" w:rsidRDefault="005B0C9A" w:rsidP="00056799">
            <w:pPr>
              <w:pStyle w:val="TableParagraph"/>
              <w:numPr>
                <w:ilvl w:val="0"/>
                <w:numId w:val="48"/>
              </w:numPr>
              <w:tabs>
                <w:tab w:val="left" w:pos="685"/>
                <w:tab w:val="left" w:pos="686"/>
              </w:tabs>
              <w:spacing w:before="95" w:line="264" w:lineRule="auto"/>
              <w:ind w:right="531"/>
              <w:jc w:val="both"/>
            </w:pPr>
            <w:r w:rsidRPr="00B61C40">
              <w:t>Include all relevant emergency management entities in negotiations</w:t>
            </w:r>
            <w:r w:rsidRPr="00B61C40">
              <w:rPr>
                <w:spacing w:val="-59"/>
              </w:rPr>
              <w:t xml:space="preserve"> </w:t>
            </w:r>
            <w:r w:rsidRPr="00B61C40">
              <w:t>toward the Inter-Agency Fire Management Protocol, with approval</w:t>
            </w:r>
            <w:r w:rsidRPr="00B61C40">
              <w:rPr>
                <w:spacing w:val="1"/>
              </w:rPr>
              <w:t xml:space="preserve"> </w:t>
            </w:r>
            <w:r w:rsidRPr="00B61C40">
              <w:t>and/or</w:t>
            </w:r>
            <w:r w:rsidRPr="00B61C40">
              <w:rPr>
                <w:spacing w:val="-2"/>
              </w:rPr>
              <w:t xml:space="preserve"> </w:t>
            </w:r>
            <w:r w:rsidRPr="00B61C40">
              <w:t>oversight</w:t>
            </w:r>
            <w:r w:rsidRPr="00B61C40">
              <w:rPr>
                <w:spacing w:val="2"/>
              </w:rPr>
              <w:t xml:space="preserve"> </w:t>
            </w:r>
            <w:r w:rsidRPr="00B61C40">
              <w:t>by</w:t>
            </w:r>
            <w:r w:rsidRPr="00B61C40">
              <w:rPr>
                <w:spacing w:val="-2"/>
              </w:rPr>
              <w:t xml:space="preserve"> </w:t>
            </w:r>
            <w:r w:rsidRPr="00B61C40">
              <w:t>the</w:t>
            </w:r>
            <w:r w:rsidRPr="00B61C40">
              <w:rPr>
                <w:spacing w:val="-2"/>
              </w:rPr>
              <w:t xml:space="preserve"> </w:t>
            </w:r>
            <w:r w:rsidRPr="00B61C40">
              <w:t>State</w:t>
            </w:r>
            <w:r w:rsidRPr="00B61C40">
              <w:rPr>
                <w:spacing w:val="-2"/>
              </w:rPr>
              <w:t xml:space="preserve"> </w:t>
            </w:r>
            <w:r w:rsidRPr="00B61C40">
              <w:t>Controller.</w:t>
            </w:r>
          </w:p>
        </w:tc>
        <w:tc>
          <w:tcPr>
            <w:tcW w:w="1134" w:type="dxa"/>
            <w:shd w:val="clear" w:color="auto" w:fill="D9E1F3"/>
          </w:tcPr>
          <w:p w14:paraId="293985CB" w14:textId="77777777" w:rsidR="005B0C9A" w:rsidRPr="00B61C40" w:rsidRDefault="005B0C9A" w:rsidP="00056799">
            <w:pPr>
              <w:pStyle w:val="TableParagraph"/>
              <w:spacing w:before="129"/>
              <w:ind w:left="8"/>
              <w:jc w:val="both"/>
            </w:pPr>
            <w:r w:rsidRPr="00B61C40">
              <w:t>3</w:t>
            </w:r>
          </w:p>
        </w:tc>
        <w:tc>
          <w:tcPr>
            <w:tcW w:w="993" w:type="dxa"/>
            <w:shd w:val="clear" w:color="auto" w:fill="D9E1F3"/>
          </w:tcPr>
          <w:p w14:paraId="1ECE8BDF" w14:textId="0262B017" w:rsidR="005B0C9A" w:rsidRPr="00B61C40" w:rsidRDefault="00346F95" w:rsidP="00056799">
            <w:pPr>
              <w:pStyle w:val="TableParagraph"/>
              <w:spacing w:before="129"/>
              <w:ind w:left="148" w:right="139"/>
              <w:jc w:val="both"/>
            </w:pPr>
            <w:hyperlink w:anchor="_bookmark29" w:history="1">
              <w:r w:rsidR="005B0C9A" w:rsidRPr="00B61C40">
                <w:t>43</w:t>
              </w:r>
            </w:hyperlink>
          </w:p>
        </w:tc>
      </w:tr>
      <w:tr w:rsidR="005B0C9A" w:rsidRPr="00B61C40" w14:paraId="11DAE873" w14:textId="77777777" w:rsidTr="007F68B4">
        <w:trPr>
          <w:trHeight w:val="1641"/>
        </w:trPr>
        <w:tc>
          <w:tcPr>
            <w:tcW w:w="1529" w:type="dxa"/>
            <w:shd w:val="clear" w:color="auto" w:fill="D9E1F3"/>
          </w:tcPr>
          <w:p w14:paraId="39CA6048" w14:textId="77777777" w:rsidR="005B0C9A" w:rsidRPr="00B61C40" w:rsidRDefault="005B0C9A" w:rsidP="00056799">
            <w:pPr>
              <w:pStyle w:val="TableParagraph"/>
              <w:ind w:left="6"/>
              <w:jc w:val="both"/>
            </w:pPr>
            <w:r w:rsidRPr="00B61C40">
              <w:t>7</w:t>
            </w:r>
          </w:p>
        </w:tc>
        <w:tc>
          <w:tcPr>
            <w:tcW w:w="6976" w:type="dxa"/>
            <w:shd w:val="clear" w:color="auto" w:fill="D9E1F3"/>
          </w:tcPr>
          <w:p w14:paraId="23DC8FB0" w14:textId="77777777" w:rsidR="005B0C9A" w:rsidRPr="00B61C40" w:rsidRDefault="005B0C9A" w:rsidP="00056799">
            <w:pPr>
              <w:pStyle w:val="TableParagraph"/>
              <w:numPr>
                <w:ilvl w:val="0"/>
                <w:numId w:val="47"/>
              </w:numPr>
              <w:tabs>
                <w:tab w:val="left" w:pos="685"/>
                <w:tab w:val="left" w:pos="686"/>
              </w:tabs>
              <w:spacing w:before="93" w:line="264" w:lineRule="auto"/>
              <w:ind w:right="324"/>
              <w:jc w:val="both"/>
            </w:pPr>
            <w:r w:rsidRPr="00B61C40">
              <w:t>Ensure the role in recovery of the Department of Premier and Cabinet</w:t>
            </w:r>
            <w:r w:rsidRPr="00B61C40">
              <w:rPr>
                <w:spacing w:val="-59"/>
              </w:rPr>
              <w:t xml:space="preserve"> </w:t>
            </w:r>
            <w:r w:rsidRPr="00B61C40">
              <w:t>(DPAC) remains unchanged.</w:t>
            </w:r>
          </w:p>
          <w:p w14:paraId="5F810B22" w14:textId="77777777" w:rsidR="005B0C9A" w:rsidRPr="00B61C40" w:rsidRDefault="005B0C9A" w:rsidP="00056799">
            <w:pPr>
              <w:pStyle w:val="TableParagraph"/>
              <w:numPr>
                <w:ilvl w:val="0"/>
                <w:numId w:val="47"/>
              </w:numPr>
              <w:tabs>
                <w:tab w:val="left" w:pos="685"/>
                <w:tab w:val="left" w:pos="686"/>
              </w:tabs>
              <w:spacing w:before="66" w:line="264" w:lineRule="auto"/>
              <w:ind w:right="152"/>
              <w:jc w:val="both"/>
            </w:pPr>
            <w:r w:rsidRPr="00B61C40">
              <w:t>Acknowledge the support role in recovery to be taken by Tasmania Fire</w:t>
            </w:r>
            <w:r w:rsidRPr="00B61C40">
              <w:rPr>
                <w:spacing w:val="-59"/>
              </w:rPr>
              <w:t xml:space="preserve"> </w:t>
            </w:r>
            <w:r w:rsidRPr="00B61C40">
              <w:t>and Emergency Services (TFES), as outlined in Section 3.6.5 of this</w:t>
            </w:r>
            <w:r w:rsidRPr="00B61C40">
              <w:rPr>
                <w:spacing w:val="1"/>
              </w:rPr>
              <w:t xml:space="preserve"> </w:t>
            </w:r>
            <w:r w:rsidRPr="00B61C40">
              <w:t>Report.</w:t>
            </w:r>
          </w:p>
        </w:tc>
        <w:tc>
          <w:tcPr>
            <w:tcW w:w="1134" w:type="dxa"/>
            <w:shd w:val="clear" w:color="auto" w:fill="D9E1F3"/>
          </w:tcPr>
          <w:p w14:paraId="7494FA07" w14:textId="77777777" w:rsidR="005B0C9A" w:rsidRPr="00B61C40" w:rsidRDefault="005B0C9A" w:rsidP="00056799">
            <w:pPr>
              <w:pStyle w:val="TableParagraph"/>
              <w:ind w:left="8"/>
              <w:jc w:val="both"/>
            </w:pPr>
            <w:r w:rsidRPr="00B61C40">
              <w:t>3</w:t>
            </w:r>
          </w:p>
        </w:tc>
        <w:tc>
          <w:tcPr>
            <w:tcW w:w="993" w:type="dxa"/>
            <w:shd w:val="clear" w:color="auto" w:fill="D9E1F3"/>
          </w:tcPr>
          <w:p w14:paraId="1248E737" w14:textId="1F0A02A7" w:rsidR="005B0C9A" w:rsidRPr="00B61C40" w:rsidRDefault="00346F95" w:rsidP="00056799">
            <w:pPr>
              <w:pStyle w:val="TableParagraph"/>
              <w:ind w:left="148" w:right="139"/>
              <w:jc w:val="both"/>
            </w:pPr>
            <w:hyperlink w:anchor="_bookmark31" w:history="1">
              <w:r w:rsidR="005B0C9A" w:rsidRPr="00B61C40">
                <w:t>45</w:t>
              </w:r>
            </w:hyperlink>
          </w:p>
        </w:tc>
      </w:tr>
      <w:tr w:rsidR="005B0C9A" w:rsidRPr="00B61C40" w14:paraId="55EC0B92" w14:textId="77777777" w:rsidTr="007F68B4">
        <w:trPr>
          <w:trHeight w:val="3561"/>
        </w:trPr>
        <w:tc>
          <w:tcPr>
            <w:tcW w:w="1529" w:type="dxa"/>
            <w:shd w:val="clear" w:color="auto" w:fill="D9E1F3"/>
          </w:tcPr>
          <w:p w14:paraId="347FB403" w14:textId="77777777" w:rsidR="005B0C9A" w:rsidRPr="00B61C40" w:rsidRDefault="005B0C9A" w:rsidP="00056799">
            <w:pPr>
              <w:pStyle w:val="TableParagraph"/>
              <w:ind w:left="6"/>
              <w:jc w:val="both"/>
            </w:pPr>
            <w:r w:rsidRPr="00B61C40">
              <w:t>8</w:t>
            </w:r>
          </w:p>
        </w:tc>
        <w:tc>
          <w:tcPr>
            <w:tcW w:w="6976" w:type="dxa"/>
            <w:shd w:val="clear" w:color="auto" w:fill="D9E1F3"/>
          </w:tcPr>
          <w:p w14:paraId="2229A120" w14:textId="77777777" w:rsidR="005B0C9A" w:rsidRPr="00B61C40" w:rsidRDefault="005B0C9A" w:rsidP="00056799">
            <w:pPr>
              <w:pStyle w:val="TableParagraph"/>
              <w:numPr>
                <w:ilvl w:val="0"/>
                <w:numId w:val="46"/>
              </w:numPr>
              <w:tabs>
                <w:tab w:val="left" w:pos="685"/>
                <w:tab w:val="left" w:pos="686"/>
              </w:tabs>
              <w:spacing w:before="93" w:line="264" w:lineRule="auto"/>
              <w:ind w:right="154"/>
              <w:jc w:val="both"/>
            </w:pPr>
            <w:r w:rsidRPr="00B61C40">
              <w:t>Develop a governance model for Tasmania Fire and Emergency</w:t>
            </w:r>
            <w:r w:rsidRPr="00B61C40">
              <w:rPr>
                <w:spacing w:val="1"/>
              </w:rPr>
              <w:t xml:space="preserve"> </w:t>
            </w:r>
            <w:r w:rsidRPr="00B61C40">
              <w:t>Services (TFES) that transitions it to a division within the Department of</w:t>
            </w:r>
            <w:r w:rsidRPr="00B61C40">
              <w:rPr>
                <w:spacing w:val="-59"/>
              </w:rPr>
              <w:t xml:space="preserve"> </w:t>
            </w:r>
            <w:r w:rsidRPr="00B61C40">
              <w:t>Police, Fire</w:t>
            </w:r>
            <w:r w:rsidRPr="00B61C40">
              <w:rPr>
                <w:spacing w:val="-1"/>
              </w:rPr>
              <w:t xml:space="preserve"> </w:t>
            </w:r>
            <w:r w:rsidRPr="00B61C40">
              <w:t>and</w:t>
            </w:r>
            <w:r w:rsidRPr="00B61C40">
              <w:rPr>
                <w:spacing w:val="-3"/>
              </w:rPr>
              <w:t xml:space="preserve"> </w:t>
            </w:r>
            <w:r w:rsidRPr="00B61C40">
              <w:t>Emergency</w:t>
            </w:r>
            <w:r w:rsidRPr="00B61C40">
              <w:rPr>
                <w:spacing w:val="-3"/>
              </w:rPr>
              <w:t xml:space="preserve"> </w:t>
            </w:r>
            <w:r w:rsidRPr="00B61C40">
              <w:t>Management</w:t>
            </w:r>
            <w:r w:rsidRPr="00B61C40">
              <w:rPr>
                <w:spacing w:val="-1"/>
              </w:rPr>
              <w:t xml:space="preserve"> </w:t>
            </w:r>
            <w:r w:rsidRPr="00B61C40">
              <w:t>(DPFEM)</w:t>
            </w:r>
            <w:r w:rsidRPr="00B61C40">
              <w:rPr>
                <w:spacing w:val="1"/>
              </w:rPr>
              <w:t xml:space="preserve"> </w:t>
            </w:r>
            <w:r w:rsidRPr="00B61C40">
              <w:t>that</w:t>
            </w:r>
            <w:r w:rsidRPr="00B61C40">
              <w:rPr>
                <w:spacing w:val="1"/>
              </w:rPr>
              <w:t xml:space="preserve"> </w:t>
            </w:r>
            <w:r w:rsidRPr="00B61C40">
              <w:t>includes:</w:t>
            </w:r>
          </w:p>
          <w:p w14:paraId="3216FE6D" w14:textId="77777777" w:rsidR="005B0C9A" w:rsidRPr="00B61C40" w:rsidRDefault="005B0C9A" w:rsidP="00056799">
            <w:pPr>
              <w:pStyle w:val="TableParagraph"/>
              <w:numPr>
                <w:ilvl w:val="1"/>
                <w:numId w:val="46"/>
              </w:numPr>
              <w:tabs>
                <w:tab w:val="left" w:pos="1270"/>
              </w:tabs>
              <w:spacing w:before="83"/>
              <w:ind w:hanging="426"/>
              <w:jc w:val="both"/>
            </w:pPr>
            <w:r w:rsidRPr="00B61C40">
              <w:t>suitable</w:t>
            </w:r>
            <w:r w:rsidRPr="00B61C40">
              <w:rPr>
                <w:spacing w:val="-1"/>
              </w:rPr>
              <w:t xml:space="preserve"> </w:t>
            </w:r>
            <w:r w:rsidRPr="00B61C40">
              <w:t>ring-fencing</w:t>
            </w:r>
            <w:r w:rsidRPr="00B61C40">
              <w:rPr>
                <w:spacing w:val="-2"/>
              </w:rPr>
              <w:t xml:space="preserve"> </w:t>
            </w:r>
            <w:r w:rsidRPr="00B61C40">
              <w:t>arrangements</w:t>
            </w:r>
            <w:r w:rsidRPr="00B61C40">
              <w:rPr>
                <w:spacing w:val="-3"/>
              </w:rPr>
              <w:t xml:space="preserve"> </w:t>
            </w:r>
            <w:r w:rsidRPr="00B61C40">
              <w:t>for levies</w:t>
            </w:r>
            <w:r w:rsidRPr="00B61C40">
              <w:rPr>
                <w:spacing w:val="-4"/>
              </w:rPr>
              <w:t xml:space="preserve"> </w:t>
            </w:r>
            <w:r w:rsidRPr="00B61C40">
              <w:t>raised</w:t>
            </w:r>
            <w:r w:rsidRPr="00B61C40">
              <w:rPr>
                <w:spacing w:val="-1"/>
              </w:rPr>
              <w:t xml:space="preserve"> </w:t>
            </w:r>
            <w:r w:rsidRPr="00B61C40">
              <w:t>to</w:t>
            </w:r>
            <w:r w:rsidRPr="00B61C40">
              <w:rPr>
                <w:spacing w:val="-4"/>
              </w:rPr>
              <w:t xml:space="preserve"> </w:t>
            </w:r>
            <w:r w:rsidRPr="00B61C40">
              <w:t>fund</w:t>
            </w:r>
            <w:r w:rsidRPr="00B61C40">
              <w:rPr>
                <w:spacing w:val="-3"/>
              </w:rPr>
              <w:t xml:space="preserve"> </w:t>
            </w:r>
            <w:r w:rsidRPr="00B61C40">
              <w:t>TFES</w:t>
            </w:r>
          </w:p>
          <w:p w14:paraId="372B5F1C" w14:textId="77777777" w:rsidR="005B0C9A" w:rsidRPr="00B61C40" w:rsidRDefault="005B0C9A" w:rsidP="00056799">
            <w:pPr>
              <w:pStyle w:val="TableParagraph"/>
              <w:numPr>
                <w:ilvl w:val="1"/>
                <w:numId w:val="46"/>
              </w:numPr>
              <w:tabs>
                <w:tab w:val="left" w:pos="1270"/>
              </w:tabs>
              <w:spacing w:before="88" w:line="247" w:lineRule="auto"/>
              <w:ind w:right="376"/>
              <w:jc w:val="both"/>
            </w:pPr>
            <w:r w:rsidRPr="00B61C40">
              <w:t>appropriate reporting arrangements between the head of TFES</w:t>
            </w:r>
            <w:r w:rsidRPr="00B61C40">
              <w:rPr>
                <w:spacing w:val="-59"/>
              </w:rPr>
              <w:t xml:space="preserve"> </w:t>
            </w:r>
            <w:r w:rsidRPr="00B61C40">
              <w:t>and</w:t>
            </w:r>
            <w:r w:rsidRPr="00B61C40">
              <w:rPr>
                <w:spacing w:val="-1"/>
              </w:rPr>
              <w:t xml:space="preserve"> </w:t>
            </w:r>
            <w:r w:rsidRPr="00B61C40">
              <w:t>the</w:t>
            </w:r>
            <w:r w:rsidRPr="00B61C40">
              <w:rPr>
                <w:spacing w:val="-2"/>
              </w:rPr>
              <w:t xml:space="preserve"> </w:t>
            </w:r>
            <w:r w:rsidRPr="00B61C40">
              <w:t>Minister</w:t>
            </w:r>
          </w:p>
          <w:p w14:paraId="15EC81E7" w14:textId="77777777" w:rsidR="005B0C9A" w:rsidRPr="00B61C40" w:rsidRDefault="005B0C9A" w:rsidP="00056799">
            <w:pPr>
              <w:pStyle w:val="TableParagraph"/>
              <w:numPr>
                <w:ilvl w:val="1"/>
                <w:numId w:val="46"/>
              </w:numPr>
              <w:tabs>
                <w:tab w:val="left" w:pos="1270"/>
              </w:tabs>
              <w:spacing w:before="98" w:line="259" w:lineRule="auto"/>
              <w:ind w:right="109"/>
              <w:jc w:val="both"/>
            </w:pPr>
            <w:r w:rsidRPr="00B61C40">
              <w:t>broadening the role, and revisiting the membership, of the State</w:t>
            </w:r>
            <w:r w:rsidRPr="00B61C40">
              <w:rPr>
                <w:spacing w:val="1"/>
              </w:rPr>
              <w:t xml:space="preserve"> </w:t>
            </w:r>
            <w:r w:rsidRPr="00B61C40">
              <w:t>Fire Management Council (SFMC). Revisiting membership should</w:t>
            </w:r>
            <w:r w:rsidRPr="00B61C40">
              <w:rPr>
                <w:spacing w:val="-59"/>
              </w:rPr>
              <w:t xml:space="preserve"> </w:t>
            </w:r>
            <w:r w:rsidRPr="00B61C40">
              <w:t>include relevant membership transitioned from the State Fire</w:t>
            </w:r>
            <w:r w:rsidRPr="00B61C40">
              <w:rPr>
                <w:spacing w:val="1"/>
              </w:rPr>
              <w:t xml:space="preserve"> </w:t>
            </w:r>
            <w:r w:rsidRPr="00B61C40">
              <w:t>Commission</w:t>
            </w:r>
            <w:r w:rsidRPr="00B61C40">
              <w:rPr>
                <w:spacing w:val="-2"/>
              </w:rPr>
              <w:t xml:space="preserve"> </w:t>
            </w:r>
            <w:r w:rsidRPr="00B61C40">
              <w:t>(SFC)</w:t>
            </w:r>
          </w:p>
          <w:p w14:paraId="2D402E65" w14:textId="77777777" w:rsidR="005B0C9A" w:rsidRPr="00B61C40" w:rsidRDefault="005B0C9A" w:rsidP="00056799">
            <w:pPr>
              <w:pStyle w:val="TableParagraph"/>
              <w:numPr>
                <w:ilvl w:val="1"/>
                <w:numId w:val="46"/>
              </w:numPr>
              <w:tabs>
                <w:tab w:val="left" w:pos="1270"/>
              </w:tabs>
              <w:spacing w:before="90"/>
              <w:ind w:hanging="426"/>
              <w:jc w:val="both"/>
            </w:pPr>
            <w:r w:rsidRPr="00B61C40">
              <w:t>abolishing</w:t>
            </w:r>
            <w:r w:rsidRPr="00B61C40">
              <w:rPr>
                <w:spacing w:val="-1"/>
              </w:rPr>
              <w:t xml:space="preserve"> </w:t>
            </w:r>
            <w:r w:rsidRPr="00B61C40">
              <w:t>the</w:t>
            </w:r>
            <w:r w:rsidRPr="00B61C40">
              <w:rPr>
                <w:spacing w:val="-1"/>
              </w:rPr>
              <w:t xml:space="preserve"> </w:t>
            </w:r>
            <w:r w:rsidRPr="00B61C40">
              <w:t>SFC.</w:t>
            </w:r>
          </w:p>
        </w:tc>
        <w:tc>
          <w:tcPr>
            <w:tcW w:w="1134" w:type="dxa"/>
            <w:shd w:val="clear" w:color="auto" w:fill="D9E1F3"/>
          </w:tcPr>
          <w:p w14:paraId="1240AA5E" w14:textId="77777777" w:rsidR="005B0C9A" w:rsidRPr="00B61C40" w:rsidRDefault="005B0C9A" w:rsidP="00056799">
            <w:pPr>
              <w:pStyle w:val="TableParagraph"/>
              <w:ind w:left="8"/>
              <w:jc w:val="both"/>
            </w:pPr>
            <w:r w:rsidRPr="00B61C40">
              <w:t>4</w:t>
            </w:r>
          </w:p>
        </w:tc>
        <w:tc>
          <w:tcPr>
            <w:tcW w:w="993" w:type="dxa"/>
            <w:shd w:val="clear" w:color="auto" w:fill="D9E1F3"/>
          </w:tcPr>
          <w:p w14:paraId="55D48B2C" w14:textId="5E147F29" w:rsidR="005B0C9A" w:rsidRPr="00B61C40" w:rsidRDefault="00346F95" w:rsidP="00056799">
            <w:pPr>
              <w:pStyle w:val="TableParagraph"/>
              <w:ind w:left="148" w:right="139"/>
              <w:jc w:val="both"/>
            </w:pPr>
            <w:hyperlink w:anchor="_bookmark39" w:history="1">
              <w:r w:rsidR="005B0C9A" w:rsidRPr="00B61C40">
                <w:t>56</w:t>
              </w:r>
            </w:hyperlink>
          </w:p>
        </w:tc>
      </w:tr>
      <w:tr w:rsidR="005B0C9A" w:rsidRPr="00B61C40" w14:paraId="66AA29F1" w14:textId="77777777" w:rsidTr="007F68B4">
        <w:trPr>
          <w:trHeight w:val="1278"/>
        </w:trPr>
        <w:tc>
          <w:tcPr>
            <w:tcW w:w="1529" w:type="dxa"/>
            <w:shd w:val="clear" w:color="auto" w:fill="D9E1F3"/>
          </w:tcPr>
          <w:p w14:paraId="5B84D227" w14:textId="77777777" w:rsidR="005B0C9A" w:rsidRPr="00B61C40" w:rsidRDefault="005B0C9A" w:rsidP="00056799">
            <w:pPr>
              <w:pStyle w:val="TableParagraph"/>
              <w:ind w:left="6"/>
              <w:jc w:val="both"/>
            </w:pPr>
            <w:r w:rsidRPr="00B61C40">
              <w:t>9</w:t>
            </w:r>
          </w:p>
        </w:tc>
        <w:tc>
          <w:tcPr>
            <w:tcW w:w="6976" w:type="dxa"/>
            <w:shd w:val="clear" w:color="auto" w:fill="D9E1F3"/>
          </w:tcPr>
          <w:p w14:paraId="117F1483" w14:textId="77777777" w:rsidR="005B0C9A" w:rsidRPr="00B61C40" w:rsidRDefault="005B0C9A" w:rsidP="00056799">
            <w:pPr>
              <w:pStyle w:val="TableParagraph"/>
              <w:numPr>
                <w:ilvl w:val="0"/>
                <w:numId w:val="45"/>
              </w:numPr>
              <w:tabs>
                <w:tab w:val="left" w:pos="685"/>
                <w:tab w:val="left" w:pos="686"/>
              </w:tabs>
              <w:spacing w:before="93" w:line="264" w:lineRule="auto"/>
              <w:ind w:right="445"/>
              <w:jc w:val="both"/>
            </w:pPr>
            <w:r w:rsidRPr="00B61C40">
              <w:t>Confirm in legislation the continued existence of the State Fire</w:t>
            </w:r>
            <w:r w:rsidRPr="00B61C40">
              <w:rPr>
                <w:spacing w:val="1"/>
              </w:rPr>
              <w:t xml:space="preserve"> </w:t>
            </w:r>
            <w:r w:rsidRPr="00B61C40">
              <w:t>Management Council (SFMC) under a charter to be approved by the</w:t>
            </w:r>
            <w:r w:rsidRPr="00B61C40">
              <w:rPr>
                <w:spacing w:val="-59"/>
              </w:rPr>
              <w:t xml:space="preserve"> </w:t>
            </w:r>
            <w:r w:rsidRPr="00B61C40">
              <w:t>Secretary Department of Police, Fire and Emergency Management</w:t>
            </w:r>
            <w:r w:rsidRPr="00B61C40">
              <w:rPr>
                <w:spacing w:val="1"/>
              </w:rPr>
              <w:t xml:space="preserve"> </w:t>
            </w:r>
            <w:r w:rsidRPr="00B61C40">
              <w:t>(DPFEM)</w:t>
            </w:r>
            <w:r w:rsidRPr="00B61C40">
              <w:rPr>
                <w:spacing w:val="-1"/>
              </w:rPr>
              <w:t xml:space="preserve"> </w:t>
            </w:r>
            <w:r w:rsidRPr="00B61C40">
              <w:t>and</w:t>
            </w:r>
            <w:r w:rsidRPr="00B61C40">
              <w:rPr>
                <w:spacing w:val="-2"/>
              </w:rPr>
              <w:t xml:space="preserve"> </w:t>
            </w:r>
            <w:r w:rsidRPr="00B61C40">
              <w:t>the</w:t>
            </w:r>
            <w:r w:rsidRPr="00B61C40">
              <w:rPr>
                <w:spacing w:val="-2"/>
              </w:rPr>
              <w:t xml:space="preserve"> </w:t>
            </w:r>
            <w:r w:rsidRPr="00B61C40">
              <w:t>Minister.</w:t>
            </w:r>
          </w:p>
        </w:tc>
        <w:tc>
          <w:tcPr>
            <w:tcW w:w="1134" w:type="dxa"/>
            <w:shd w:val="clear" w:color="auto" w:fill="D9E1F3"/>
          </w:tcPr>
          <w:p w14:paraId="5342A01C" w14:textId="77777777" w:rsidR="005B0C9A" w:rsidRPr="00B61C40" w:rsidRDefault="005B0C9A" w:rsidP="00056799">
            <w:pPr>
              <w:pStyle w:val="TableParagraph"/>
              <w:ind w:left="8"/>
              <w:jc w:val="both"/>
            </w:pPr>
            <w:r w:rsidRPr="00B61C40">
              <w:t>4</w:t>
            </w:r>
          </w:p>
        </w:tc>
        <w:tc>
          <w:tcPr>
            <w:tcW w:w="993" w:type="dxa"/>
            <w:shd w:val="clear" w:color="auto" w:fill="D9E1F3"/>
          </w:tcPr>
          <w:p w14:paraId="3E0526B1" w14:textId="535F251B" w:rsidR="005B0C9A" w:rsidRPr="00B61C40" w:rsidRDefault="00346F95" w:rsidP="00056799">
            <w:pPr>
              <w:pStyle w:val="TableParagraph"/>
              <w:ind w:left="148" w:right="139"/>
              <w:jc w:val="both"/>
            </w:pPr>
            <w:hyperlink w:anchor="_bookmark41" w:history="1">
              <w:r w:rsidR="005B0C9A" w:rsidRPr="00B61C40">
                <w:t>59</w:t>
              </w:r>
            </w:hyperlink>
          </w:p>
        </w:tc>
      </w:tr>
      <w:tr w:rsidR="005B0C9A" w:rsidRPr="00B61C40" w14:paraId="0CE47993" w14:textId="77777777" w:rsidTr="007F68B4">
        <w:trPr>
          <w:trHeight w:val="719"/>
        </w:trPr>
        <w:tc>
          <w:tcPr>
            <w:tcW w:w="1529" w:type="dxa"/>
            <w:shd w:val="clear" w:color="auto" w:fill="D9E1F3"/>
          </w:tcPr>
          <w:p w14:paraId="2917F3FE" w14:textId="77777777" w:rsidR="005B0C9A" w:rsidRPr="00B61C40" w:rsidRDefault="005B0C9A" w:rsidP="00056799">
            <w:pPr>
              <w:pStyle w:val="TableParagraph"/>
              <w:ind w:left="140" w:right="131"/>
              <w:jc w:val="both"/>
            </w:pPr>
            <w:r w:rsidRPr="00B61C40">
              <w:t>10</w:t>
            </w:r>
          </w:p>
        </w:tc>
        <w:tc>
          <w:tcPr>
            <w:tcW w:w="6976" w:type="dxa"/>
            <w:shd w:val="clear" w:color="auto" w:fill="D9E1F3"/>
          </w:tcPr>
          <w:p w14:paraId="16F83144" w14:textId="77777777" w:rsidR="005B0C9A" w:rsidRPr="00B61C40" w:rsidRDefault="005B0C9A" w:rsidP="00056799">
            <w:pPr>
              <w:pStyle w:val="TableParagraph"/>
              <w:numPr>
                <w:ilvl w:val="0"/>
                <w:numId w:val="44"/>
              </w:numPr>
              <w:tabs>
                <w:tab w:val="left" w:pos="685"/>
                <w:tab w:val="left" w:pos="686"/>
              </w:tabs>
              <w:spacing w:before="93" w:line="264" w:lineRule="auto"/>
              <w:ind w:right="786"/>
              <w:jc w:val="both"/>
            </w:pPr>
            <w:r w:rsidRPr="00B61C40">
              <w:t>Broaden the definition in the Fire Service Act of ‘brigade costs’ to</w:t>
            </w:r>
            <w:r w:rsidRPr="00B61C40">
              <w:rPr>
                <w:spacing w:val="-59"/>
              </w:rPr>
              <w:t xml:space="preserve"> </w:t>
            </w:r>
            <w:r w:rsidRPr="00B61C40">
              <w:t>include</w:t>
            </w:r>
            <w:r w:rsidRPr="00B61C40">
              <w:rPr>
                <w:spacing w:val="-1"/>
              </w:rPr>
              <w:t xml:space="preserve"> </w:t>
            </w:r>
            <w:r w:rsidRPr="00B61C40">
              <w:t>non-brigade costs.</w:t>
            </w:r>
          </w:p>
        </w:tc>
        <w:tc>
          <w:tcPr>
            <w:tcW w:w="1134" w:type="dxa"/>
            <w:shd w:val="clear" w:color="auto" w:fill="D9E1F3"/>
          </w:tcPr>
          <w:p w14:paraId="4A86B6F3" w14:textId="77777777" w:rsidR="005B0C9A" w:rsidRPr="00B61C40" w:rsidRDefault="005B0C9A" w:rsidP="00056799">
            <w:pPr>
              <w:pStyle w:val="TableParagraph"/>
              <w:ind w:left="8"/>
              <w:jc w:val="both"/>
            </w:pPr>
            <w:r w:rsidRPr="00B61C40">
              <w:t>5</w:t>
            </w:r>
          </w:p>
        </w:tc>
        <w:tc>
          <w:tcPr>
            <w:tcW w:w="993" w:type="dxa"/>
            <w:shd w:val="clear" w:color="auto" w:fill="D9E1F3"/>
          </w:tcPr>
          <w:p w14:paraId="2D25596D" w14:textId="041F5527" w:rsidR="005B0C9A" w:rsidRPr="00B61C40" w:rsidRDefault="00346F95" w:rsidP="00056799">
            <w:pPr>
              <w:pStyle w:val="TableParagraph"/>
              <w:ind w:left="148" w:right="139"/>
              <w:jc w:val="both"/>
            </w:pPr>
            <w:hyperlink w:anchor="_bookmark45" w:history="1">
              <w:r w:rsidR="005B0C9A" w:rsidRPr="00B61C40">
                <w:t>62</w:t>
              </w:r>
            </w:hyperlink>
          </w:p>
        </w:tc>
      </w:tr>
      <w:tr w:rsidR="005B0C9A" w:rsidRPr="00B61C40" w14:paraId="712E20C9" w14:textId="77777777" w:rsidTr="007F68B4">
        <w:trPr>
          <w:trHeight w:val="1360"/>
        </w:trPr>
        <w:tc>
          <w:tcPr>
            <w:tcW w:w="1529" w:type="dxa"/>
            <w:shd w:val="clear" w:color="auto" w:fill="D9E1F3"/>
          </w:tcPr>
          <w:p w14:paraId="3418C11D" w14:textId="77777777" w:rsidR="005B0C9A" w:rsidRPr="00B61C40" w:rsidRDefault="005B0C9A" w:rsidP="00056799">
            <w:pPr>
              <w:pStyle w:val="TableParagraph"/>
              <w:spacing w:before="129"/>
              <w:ind w:left="140" w:right="131"/>
              <w:jc w:val="both"/>
            </w:pPr>
            <w:r w:rsidRPr="00B61C40">
              <w:t>11</w:t>
            </w:r>
          </w:p>
        </w:tc>
        <w:tc>
          <w:tcPr>
            <w:tcW w:w="6976" w:type="dxa"/>
            <w:shd w:val="clear" w:color="auto" w:fill="D9E1F3"/>
          </w:tcPr>
          <w:p w14:paraId="34B53EAB" w14:textId="77777777" w:rsidR="005B0C9A" w:rsidRPr="00B61C40" w:rsidRDefault="005B0C9A" w:rsidP="00056799">
            <w:pPr>
              <w:pStyle w:val="TableParagraph"/>
              <w:numPr>
                <w:ilvl w:val="0"/>
                <w:numId w:val="43"/>
              </w:numPr>
              <w:tabs>
                <w:tab w:val="left" w:pos="685"/>
                <w:tab w:val="left" w:pos="686"/>
              </w:tabs>
              <w:spacing w:before="95" w:line="264" w:lineRule="auto"/>
              <w:ind w:right="215"/>
              <w:jc w:val="both"/>
            </w:pPr>
            <w:r w:rsidRPr="00B61C40">
              <w:t>Replace all current sources of State Emergency Service (SES) funding</w:t>
            </w:r>
            <w:r w:rsidRPr="00B61C40">
              <w:rPr>
                <w:spacing w:val="-59"/>
              </w:rPr>
              <w:t xml:space="preserve"> </w:t>
            </w:r>
            <w:r w:rsidRPr="00B61C40">
              <w:t>with</w:t>
            </w:r>
            <w:r w:rsidRPr="00B61C40">
              <w:rPr>
                <w:spacing w:val="-1"/>
              </w:rPr>
              <w:t xml:space="preserve"> </w:t>
            </w:r>
            <w:r w:rsidRPr="00B61C40">
              <w:t>a</w:t>
            </w:r>
            <w:r w:rsidRPr="00B61C40">
              <w:rPr>
                <w:spacing w:val="1"/>
              </w:rPr>
              <w:t xml:space="preserve"> </w:t>
            </w:r>
            <w:r w:rsidRPr="00B61C40">
              <w:t>single,</w:t>
            </w:r>
            <w:r w:rsidRPr="00B61C40">
              <w:rPr>
                <w:spacing w:val="-1"/>
              </w:rPr>
              <w:t xml:space="preserve"> </w:t>
            </w:r>
            <w:r w:rsidRPr="00B61C40">
              <w:t>property-based levy.</w:t>
            </w:r>
          </w:p>
          <w:p w14:paraId="2831E463" w14:textId="77777777" w:rsidR="005B0C9A" w:rsidRPr="00B61C40" w:rsidRDefault="005B0C9A" w:rsidP="00056799">
            <w:pPr>
              <w:pStyle w:val="TableParagraph"/>
              <w:numPr>
                <w:ilvl w:val="0"/>
                <w:numId w:val="43"/>
              </w:numPr>
              <w:tabs>
                <w:tab w:val="left" w:pos="685"/>
                <w:tab w:val="left" w:pos="686"/>
              </w:tabs>
              <w:spacing w:before="64" w:line="264" w:lineRule="auto"/>
              <w:ind w:right="677"/>
              <w:jc w:val="both"/>
            </w:pPr>
            <w:r w:rsidRPr="00B61C40">
              <w:t>Explore Appropriation-based funding for SES as an alternative if a</w:t>
            </w:r>
            <w:r w:rsidRPr="00B61C40">
              <w:rPr>
                <w:spacing w:val="-59"/>
              </w:rPr>
              <w:t xml:space="preserve"> </w:t>
            </w:r>
            <w:r w:rsidRPr="00B61C40">
              <w:t>single,</w:t>
            </w:r>
            <w:r w:rsidRPr="00B61C40">
              <w:rPr>
                <w:spacing w:val="-1"/>
              </w:rPr>
              <w:t xml:space="preserve"> </w:t>
            </w:r>
            <w:r w:rsidRPr="00B61C40">
              <w:t>property-based</w:t>
            </w:r>
            <w:r w:rsidRPr="00B61C40">
              <w:rPr>
                <w:spacing w:val="-1"/>
              </w:rPr>
              <w:t xml:space="preserve"> </w:t>
            </w:r>
            <w:r w:rsidRPr="00B61C40">
              <w:t>levy is not</w:t>
            </w:r>
            <w:r w:rsidRPr="00B61C40">
              <w:rPr>
                <w:spacing w:val="1"/>
              </w:rPr>
              <w:t xml:space="preserve"> </w:t>
            </w:r>
            <w:r w:rsidRPr="00B61C40">
              <w:t>supported</w:t>
            </w:r>
            <w:r w:rsidRPr="00B61C40">
              <w:rPr>
                <w:spacing w:val="-1"/>
              </w:rPr>
              <w:t xml:space="preserve"> </w:t>
            </w:r>
            <w:r w:rsidRPr="00B61C40">
              <w:t>or sustainable.</w:t>
            </w:r>
          </w:p>
        </w:tc>
        <w:tc>
          <w:tcPr>
            <w:tcW w:w="1134" w:type="dxa"/>
            <w:shd w:val="clear" w:color="auto" w:fill="D9E1F3"/>
          </w:tcPr>
          <w:p w14:paraId="1D1381A2" w14:textId="77777777" w:rsidR="005B0C9A" w:rsidRPr="00B61C40" w:rsidRDefault="005B0C9A" w:rsidP="00056799">
            <w:pPr>
              <w:pStyle w:val="TableParagraph"/>
              <w:spacing w:before="129"/>
              <w:ind w:left="8"/>
              <w:jc w:val="both"/>
            </w:pPr>
            <w:r w:rsidRPr="00B61C40">
              <w:t>5</w:t>
            </w:r>
          </w:p>
        </w:tc>
        <w:tc>
          <w:tcPr>
            <w:tcW w:w="993" w:type="dxa"/>
            <w:shd w:val="clear" w:color="auto" w:fill="D9E1F3"/>
          </w:tcPr>
          <w:p w14:paraId="1060EB43" w14:textId="41127290" w:rsidR="005B0C9A" w:rsidRPr="00B61C40" w:rsidRDefault="00346F95" w:rsidP="00056799">
            <w:pPr>
              <w:pStyle w:val="TableParagraph"/>
              <w:spacing w:before="129"/>
              <w:ind w:left="148" w:right="139"/>
              <w:jc w:val="both"/>
            </w:pPr>
            <w:hyperlink w:anchor="_bookmark48" w:history="1">
              <w:r w:rsidR="005B0C9A" w:rsidRPr="00B61C40">
                <w:t>66</w:t>
              </w:r>
            </w:hyperlink>
          </w:p>
        </w:tc>
      </w:tr>
      <w:tr w:rsidR="005B0C9A" w:rsidRPr="00B61C40" w14:paraId="373F4836" w14:textId="77777777" w:rsidTr="007F68B4">
        <w:trPr>
          <w:trHeight w:val="1641"/>
        </w:trPr>
        <w:tc>
          <w:tcPr>
            <w:tcW w:w="1529" w:type="dxa"/>
            <w:shd w:val="clear" w:color="auto" w:fill="D9E1F3"/>
          </w:tcPr>
          <w:p w14:paraId="11ACA8BF" w14:textId="77777777" w:rsidR="005B0C9A" w:rsidRPr="00B61C40" w:rsidRDefault="005B0C9A" w:rsidP="00056799">
            <w:pPr>
              <w:pStyle w:val="TableParagraph"/>
              <w:ind w:left="140" w:right="131"/>
              <w:jc w:val="both"/>
            </w:pPr>
            <w:r w:rsidRPr="00B61C40">
              <w:t>12</w:t>
            </w:r>
          </w:p>
        </w:tc>
        <w:tc>
          <w:tcPr>
            <w:tcW w:w="6976" w:type="dxa"/>
            <w:shd w:val="clear" w:color="auto" w:fill="D9E1F3"/>
          </w:tcPr>
          <w:p w14:paraId="27D26641" w14:textId="77777777" w:rsidR="005B0C9A" w:rsidRPr="00B61C40" w:rsidRDefault="005B0C9A" w:rsidP="00056799">
            <w:pPr>
              <w:pStyle w:val="TableParagraph"/>
              <w:numPr>
                <w:ilvl w:val="0"/>
                <w:numId w:val="42"/>
              </w:numPr>
              <w:tabs>
                <w:tab w:val="left" w:pos="685"/>
                <w:tab w:val="left" w:pos="686"/>
              </w:tabs>
              <w:spacing w:before="93" w:line="264" w:lineRule="auto"/>
              <w:ind w:right="251"/>
              <w:jc w:val="both"/>
            </w:pPr>
            <w:r w:rsidRPr="00B61C40">
              <w:t>Replace the Insurance Levy with a property-based levy or another</w:t>
            </w:r>
            <w:r w:rsidRPr="00B61C40">
              <w:rPr>
                <w:spacing w:val="1"/>
              </w:rPr>
              <w:t xml:space="preserve"> </w:t>
            </w:r>
            <w:r w:rsidRPr="00B61C40">
              <w:t>funding source providing similar, and consistent (predictable), levels of</w:t>
            </w:r>
            <w:r w:rsidRPr="00B61C40">
              <w:rPr>
                <w:spacing w:val="-59"/>
              </w:rPr>
              <w:t xml:space="preserve"> </w:t>
            </w:r>
            <w:r w:rsidRPr="00B61C40">
              <w:t>funding.</w:t>
            </w:r>
          </w:p>
          <w:p w14:paraId="6D8A1BBF" w14:textId="77777777" w:rsidR="005B0C9A" w:rsidRDefault="005B0C9A" w:rsidP="00056799">
            <w:pPr>
              <w:pStyle w:val="TableParagraph"/>
              <w:numPr>
                <w:ilvl w:val="0"/>
                <w:numId w:val="42"/>
              </w:numPr>
              <w:tabs>
                <w:tab w:val="left" w:pos="685"/>
                <w:tab w:val="left" w:pos="686"/>
              </w:tabs>
              <w:spacing w:before="69" w:line="264" w:lineRule="auto"/>
              <w:ind w:right="285"/>
              <w:jc w:val="both"/>
            </w:pPr>
            <w:r w:rsidRPr="00B61C40">
              <w:t>Ensure that the Insurance Levy continues to be charged and collected</w:t>
            </w:r>
            <w:r w:rsidRPr="00B61C40">
              <w:rPr>
                <w:spacing w:val="-59"/>
              </w:rPr>
              <w:t xml:space="preserve"> </w:t>
            </w:r>
            <w:r w:rsidRPr="00B61C40">
              <w:t>until</w:t>
            </w:r>
            <w:r w:rsidRPr="00B61C40">
              <w:rPr>
                <w:spacing w:val="-3"/>
              </w:rPr>
              <w:t xml:space="preserve"> </w:t>
            </w:r>
            <w:r w:rsidRPr="00B61C40">
              <w:t>suitable</w:t>
            </w:r>
            <w:r w:rsidRPr="00B61C40">
              <w:rPr>
                <w:spacing w:val="-3"/>
              </w:rPr>
              <w:t xml:space="preserve"> </w:t>
            </w:r>
            <w:r w:rsidRPr="00B61C40">
              <w:t>transition</w:t>
            </w:r>
            <w:r w:rsidRPr="00B61C40">
              <w:rPr>
                <w:spacing w:val="-3"/>
              </w:rPr>
              <w:t xml:space="preserve"> </w:t>
            </w:r>
            <w:r w:rsidRPr="00B61C40">
              <w:t>arrangements</w:t>
            </w:r>
            <w:r w:rsidRPr="00B61C40">
              <w:rPr>
                <w:spacing w:val="-2"/>
              </w:rPr>
              <w:t xml:space="preserve"> </w:t>
            </w:r>
            <w:r w:rsidRPr="00B61C40">
              <w:t>are</w:t>
            </w:r>
            <w:r w:rsidRPr="00B61C40">
              <w:rPr>
                <w:spacing w:val="-3"/>
              </w:rPr>
              <w:t xml:space="preserve"> </w:t>
            </w:r>
            <w:r w:rsidRPr="00B61C40">
              <w:t>identified</w:t>
            </w:r>
            <w:r w:rsidRPr="00B61C40">
              <w:rPr>
                <w:spacing w:val="-3"/>
              </w:rPr>
              <w:t xml:space="preserve"> </w:t>
            </w:r>
            <w:r w:rsidRPr="00B61C40">
              <w:t>and</w:t>
            </w:r>
            <w:r w:rsidRPr="00B61C40">
              <w:rPr>
                <w:spacing w:val="-2"/>
              </w:rPr>
              <w:t xml:space="preserve"> </w:t>
            </w:r>
            <w:r w:rsidRPr="00B61C40">
              <w:t>implemented.</w:t>
            </w:r>
          </w:p>
          <w:p w14:paraId="3FC230A4" w14:textId="77777777" w:rsidR="007F68B4" w:rsidRDefault="007F68B4" w:rsidP="007F68B4">
            <w:pPr>
              <w:pStyle w:val="TableParagraph"/>
              <w:tabs>
                <w:tab w:val="left" w:pos="685"/>
                <w:tab w:val="left" w:pos="686"/>
              </w:tabs>
              <w:spacing w:before="69" w:line="264" w:lineRule="auto"/>
              <w:ind w:right="285"/>
              <w:jc w:val="both"/>
            </w:pPr>
          </w:p>
          <w:p w14:paraId="7CF92771" w14:textId="77777777" w:rsidR="007F68B4" w:rsidRDefault="007F68B4" w:rsidP="007F68B4">
            <w:pPr>
              <w:pStyle w:val="TableParagraph"/>
              <w:tabs>
                <w:tab w:val="left" w:pos="685"/>
                <w:tab w:val="left" w:pos="686"/>
              </w:tabs>
              <w:spacing w:before="69" w:line="264" w:lineRule="auto"/>
              <w:ind w:right="285"/>
              <w:jc w:val="both"/>
            </w:pPr>
          </w:p>
          <w:p w14:paraId="4DA98E4D" w14:textId="2809045D" w:rsidR="007F68B4" w:rsidRPr="00B61C40" w:rsidRDefault="007F68B4" w:rsidP="007F68B4">
            <w:pPr>
              <w:pStyle w:val="TableParagraph"/>
              <w:tabs>
                <w:tab w:val="left" w:pos="685"/>
                <w:tab w:val="left" w:pos="686"/>
              </w:tabs>
              <w:spacing w:before="69" w:line="264" w:lineRule="auto"/>
              <w:ind w:right="285"/>
              <w:jc w:val="both"/>
            </w:pPr>
          </w:p>
        </w:tc>
        <w:tc>
          <w:tcPr>
            <w:tcW w:w="1134" w:type="dxa"/>
            <w:shd w:val="clear" w:color="auto" w:fill="D9E1F3"/>
          </w:tcPr>
          <w:p w14:paraId="7CC4ECC5" w14:textId="77777777" w:rsidR="005B0C9A" w:rsidRPr="00B61C40" w:rsidRDefault="005B0C9A" w:rsidP="00056799">
            <w:pPr>
              <w:pStyle w:val="TableParagraph"/>
              <w:ind w:left="8"/>
              <w:jc w:val="both"/>
            </w:pPr>
            <w:r w:rsidRPr="00B61C40">
              <w:t>5</w:t>
            </w:r>
          </w:p>
        </w:tc>
        <w:tc>
          <w:tcPr>
            <w:tcW w:w="993" w:type="dxa"/>
            <w:shd w:val="clear" w:color="auto" w:fill="D9E1F3"/>
          </w:tcPr>
          <w:p w14:paraId="29BC48BD" w14:textId="7BC1DD65" w:rsidR="005B0C9A" w:rsidRPr="00B61C40" w:rsidRDefault="00346F95" w:rsidP="00056799">
            <w:pPr>
              <w:pStyle w:val="TableParagraph"/>
              <w:ind w:left="148" w:right="139"/>
              <w:jc w:val="both"/>
            </w:pPr>
            <w:hyperlink w:anchor="_bookmark51" w:history="1">
              <w:r w:rsidR="005B0C9A" w:rsidRPr="00B61C40">
                <w:t>69</w:t>
              </w:r>
            </w:hyperlink>
          </w:p>
        </w:tc>
      </w:tr>
      <w:tr w:rsidR="007F68B4" w:rsidRPr="00B61C40" w14:paraId="7588EE81" w14:textId="77777777" w:rsidTr="00FB408E">
        <w:trPr>
          <w:trHeight w:val="292"/>
        </w:trPr>
        <w:tc>
          <w:tcPr>
            <w:tcW w:w="8505" w:type="dxa"/>
            <w:gridSpan w:val="2"/>
            <w:vMerge w:val="restart"/>
            <w:shd w:val="clear" w:color="auto" w:fill="D9D9D9"/>
          </w:tcPr>
          <w:p w14:paraId="24F054F6" w14:textId="77777777" w:rsidR="007F68B4" w:rsidRPr="00B61C40" w:rsidRDefault="007F68B4" w:rsidP="00FB408E">
            <w:pPr>
              <w:pStyle w:val="TableParagraph"/>
              <w:spacing w:before="172"/>
              <w:ind w:left="107"/>
              <w:jc w:val="both"/>
            </w:pPr>
            <w:bookmarkStart w:id="5" w:name="_Hlk115273398"/>
            <w:r w:rsidRPr="00B61C40">
              <w:rPr>
                <w:color w:val="2D74B5"/>
              </w:rPr>
              <w:lastRenderedPageBreak/>
              <w:t>Recommendation</w:t>
            </w:r>
          </w:p>
        </w:tc>
        <w:tc>
          <w:tcPr>
            <w:tcW w:w="2127" w:type="dxa"/>
            <w:gridSpan w:val="2"/>
            <w:shd w:val="clear" w:color="auto" w:fill="D9D9D9"/>
          </w:tcPr>
          <w:p w14:paraId="32F82AA6" w14:textId="77777777" w:rsidR="007F68B4" w:rsidRPr="00B61C40" w:rsidRDefault="007F68B4"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7F68B4" w:rsidRPr="00B61C40" w14:paraId="0B63EEC0" w14:textId="77777777" w:rsidTr="00FB408E">
        <w:trPr>
          <w:trHeight w:val="292"/>
        </w:trPr>
        <w:tc>
          <w:tcPr>
            <w:tcW w:w="8505" w:type="dxa"/>
            <w:gridSpan w:val="2"/>
            <w:vMerge/>
            <w:tcBorders>
              <w:top w:val="nil"/>
            </w:tcBorders>
            <w:shd w:val="clear" w:color="auto" w:fill="D9D9D9"/>
          </w:tcPr>
          <w:p w14:paraId="2132C0A7" w14:textId="77777777" w:rsidR="007F68B4" w:rsidRPr="00B61C40" w:rsidRDefault="007F68B4" w:rsidP="00FB408E">
            <w:pPr>
              <w:jc w:val="both"/>
              <w:rPr>
                <w:rFonts w:ascii="Arial" w:hAnsi="Arial" w:cs="Arial"/>
                <w:sz w:val="22"/>
                <w:szCs w:val="22"/>
              </w:rPr>
            </w:pPr>
          </w:p>
        </w:tc>
        <w:tc>
          <w:tcPr>
            <w:tcW w:w="1134" w:type="dxa"/>
            <w:shd w:val="clear" w:color="auto" w:fill="D9D9D9"/>
          </w:tcPr>
          <w:p w14:paraId="33158ED3" w14:textId="77777777" w:rsidR="007F68B4" w:rsidRPr="00B61C40" w:rsidRDefault="007F68B4"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5D150B6B" w14:textId="77777777" w:rsidR="007F68B4" w:rsidRPr="00B61C40" w:rsidRDefault="007F68B4" w:rsidP="00FB408E">
            <w:pPr>
              <w:pStyle w:val="TableParagraph"/>
              <w:spacing w:before="21" w:line="251" w:lineRule="exact"/>
              <w:ind w:left="148" w:right="139"/>
              <w:jc w:val="both"/>
            </w:pPr>
            <w:r w:rsidRPr="00B61C40">
              <w:rPr>
                <w:color w:val="2D74B5"/>
              </w:rPr>
              <w:t>Page</w:t>
            </w:r>
          </w:p>
        </w:tc>
      </w:tr>
      <w:bookmarkEnd w:id="5"/>
      <w:tr w:rsidR="005B0C9A" w:rsidRPr="00B61C40" w14:paraId="12E20F4A" w14:textId="77777777" w:rsidTr="007F68B4">
        <w:trPr>
          <w:trHeight w:val="1079"/>
        </w:trPr>
        <w:tc>
          <w:tcPr>
            <w:tcW w:w="1529" w:type="dxa"/>
            <w:shd w:val="clear" w:color="auto" w:fill="D9E1F3"/>
          </w:tcPr>
          <w:p w14:paraId="11C21962" w14:textId="77777777" w:rsidR="005B0C9A" w:rsidRPr="00B61C40" w:rsidRDefault="005B0C9A" w:rsidP="00056799">
            <w:pPr>
              <w:pStyle w:val="TableParagraph"/>
              <w:ind w:left="140" w:right="131"/>
              <w:jc w:val="both"/>
            </w:pPr>
            <w:r w:rsidRPr="00B61C40">
              <w:t>13</w:t>
            </w:r>
          </w:p>
        </w:tc>
        <w:tc>
          <w:tcPr>
            <w:tcW w:w="6976" w:type="dxa"/>
            <w:shd w:val="clear" w:color="auto" w:fill="D9E1F3"/>
          </w:tcPr>
          <w:p w14:paraId="5E548F4E" w14:textId="77777777" w:rsidR="005B0C9A" w:rsidRPr="00B61C40" w:rsidRDefault="005B0C9A" w:rsidP="00056799">
            <w:pPr>
              <w:pStyle w:val="TableParagraph"/>
              <w:numPr>
                <w:ilvl w:val="0"/>
                <w:numId w:val="41"/>
              </w:numPr>
              <w:tabs>
                <w:tab w:val="left" w:pos="685"/>
                <w:tab w:val="left" w:pos="686"/>
              </w:tabs>
              <w:spacing w:before="93"/>
              <w:jc w:val="both"/>
            </w:pPr>
            <w:r w:rsidRPr="00B61C40">
              <w:t>Continue</w:t>
            </w:r>
            <w:r w:rsidRPr="00B61C40">
              <w:rPr>
                <w:spacing w:val="-1"/>
              </w:rPr>
              <w:t xml:space="preserve"> </w:t>
            </w:r>
            <w:r w:rsidRPr="00B61C40">
              <w:t>the</w:t>
            </w:r>
            <w:r w:rsidRPr="00B61C40">
              <w:rPr>
                <w:spacing w:val="-2"/>
              </w:rPr>
              <w:t xml:space="preserve"> </w:t>
            </w:r>
            <w:r w:rsidRPr="00B61C40">
              <w:t>Motor</w:t>
            </w:r>
            <w:r w:rsidRPr="00B61C40">
              <w:rPr>
                <w:spacing w:val="-2"/>
              </w:rPr>
              <w:t xml:space="preserve"> </w:t>
            </w:r>
            <w:r w:rsidRPr="00B61C40">
              <w:t>Vehicle Levy.</w:t>
            </w:r>
          </w:p>
          <w:p w14:paraId="6D0A80D8" w14:textId="77777777" w:rsidR="005B0C9A" w:rsidRPr="00B61C40" w:rsidRDefault="005B0C9A" w:rsidP="00056799">
            <w:pPr>
              <w:pStyle w:val="TableParagraph"/>
              <w:numPr>
                <w:ilvl w:val="0"/>
                <w:numId w:val="41"/>
              </w:numPr>
              <w:tabs>
                <w:tab w:val="left" w:pos="685"/>
                <w:tab w:val="left" w:pos="686"/>
              </w:tabs>
              <w:spacing w:before="90" w:line="264" w:lineRule="auto"/>
              <w:ind w:right="932"/>
              <w:jc w:val="both"/>
            </w:pPr>
            <w:r w:rsidRPr="00B61C40">
              <w:t>Base any expansion of the Motor Vehicle Levy to other types of</w:t>
            </w:r>
            <w:r w:rsidRPr="00B61C40">
              <w:rPr>
                <w:spacing w:val="-59"/>
              </w:rPr>
              <w:t xml:space="preserve"> </w:t>
            </w:r>
            <w:r w:rsidRPr="00B61C40">
              <w:t>vehicles</w:t>
            </w:r>
            <w:r w:rsidRPr="00B61C40">
              <w:rPr>
                <w:spacing w:val="-1"/>
              </w:rPr>
              <w:t xml:space="preserve"> </w:t>
            </w:r>
            <w:r w:rsidRPr="00B61C40">
              <w:t>on a</w:t>
            </w:r>
            <w:r w:rsidRPr="00B61C40">
              <w:rPr>
                <w:spacing w:val="-2"/>
              </w:rPr>
              <w:t xml:space="preserve"> </w:t>
            </w:r>
            <w:r w:rsidRPr="00B61C40">
              <w:t>cost-benefit</w:t>
            </w:r>
            <w:r w:rsidRPr="00B61C40">
              <w:rPr>
                <w:spacing w:val="2"/>
              </w:rPr>
              <w:t xml:space="preserve"> </w:t>
            </w:r>
            <w:r w:rsidRPr="00B61C40">
              <w:t>analysis.</w:t>
            </w:r>
          </w:p>
        </w:tc>
        <w:tc>
          <w:tcPr>
            <w:tcW w:w="1134" w:type="dxa"/>
            <w:shd w:val="clear" w:color="auto" w:fill="D9E1F3"/>
          </w:tcPr>
          <w:p w14:paraId="46FDD2AF" w14:textId="77777777" w:rsidR="005B0C9A" w:rsidRPr="00B61C40" w:rsidRDefault="005B0C9A" w:rsidP="00056799">
            <w:pPr>
              <w:pStyle w:val="TableParagraph"/>
              <w:ind w:left="8"/>
              <w:jc w:val="both"/>
            </w:pPr>
            <w:r w:rsidRPr="00B61C40">
              <w:t>5</w:t>
            </w:r>
          </w:p>
        </w:tc>
        <w:tc>
          <w:tcPr>
            <w:tcW w:w="993" w:type="dxa"/>
            <w:shd w:val="clear" w:color="auto" w:fill="D9E1F3"/>
          </w:tcPr>
          <w:p w14:paraId="128852ED" w14:textId="575758C9" w:rsidR="005B0C9A" w:rsidRPr="00B61C40" w:rsidRDefault="00346F95" w:rsidP="00056799">
            <w:pPr>
              <w:pStyle w:val="TableParagraph"/>
              <w:ind w:left="148" w:right="139"/>
              <w:jc w:val="both"/>
            </w:pPr>
            <w:hyperlink w:anchor="_bookmark52" w:history="1">
              <w:r w:rsidR="005B0C9A" w:rsidRPr="00B61C40">
                <w:t>71</w:t>
              </w:r>
            </w:hyperlink>
          </w:p>
        </w:tc>
      </w:tr>
      <w:tr w:rsidR="005B0C9A" w:rsidRPr="00B61C40" w14:paraId="77C331F8" w14:textId="77777777" w:rsidTr="007F68B4">
        <w:trPr>
          <w:trHeight w:val="1000"/>
        </w:trPr>
        <w:tc>
          <w:tcPr>
            <w:tcW w:w="1529" w:type="dxa"/>
            <w:shd w:val="clear" w:color="auto" w:fill="D9E1F3"/>
          </w:tcPr>
          <w:p w14:paraId="05713E69" w14:textId="77777777" w:rsidR="005B0C9A" w:rsidRPr="00B61C40" w:rsidRDefault="005B0C9A" w:rsidP="00056799">
            <w:pPr>
              <w:pStyle w:val="TableParagraph"/>
              <w:ind w:left="140" w:right="131"/>
              <w:jc w:val="both"/>
            </w:pPr>
            <w:r w:rsidRPr="00B61C40">
              <w:t>14</w:t>
            </w:r>
          </w:p>
        </w:tc>
        <w:tc>
          <w:tcPr>
            <w:tcW w:w="6976" w:type="dxa"/>
            <w:shd w:val="clear" w:color="auto" w:fill="D9E1F3"/>
          </w:tcPr>
          <w:p w14:paraId="64740248" w14:textId="77777777" w:rsidR="005B0C9A" w:rsidRPr="00B61C40" w:rsidRDefault="005B0C9A" w:rsidP="00056799">
            <w:pPr>
              <w:pStyle w:val="TableParagraph"/>
              <w:numPr>
                <w:ilvl w:val="0"/>
                <w:numId w:val="40"/>
              </w:numPr>
              <w:tabs>
                <w:tab w:val="left" w:pos="685"/>
                <w:tab w:val="left" w:pos="686"/>
              </w:tabs>
              <w:spacing w:before="93" w:line="264" w:lineRule="auto"/>
              <w:ind w:right="555"/>
              <w:jc w:val="both"/>
            </w:pPr>
            <w:r w:rsidRPr="00B61C40">
              <w:t>Continue contributions from the Australian Government but do not</w:t>
            </w:r>
            <w:r w:rsidRPr="00B61C40">
              <w:rPr>
                <w:spacing w:val="1"/>
              </w:rPr>
              <w:t xml:space="preserve"> </w:t>
            </w:r>
            <w:r w:rsidRPr="00B61C40">
              <w:t>regard this as a source of base-level funding for Tasmania Fire and</w:t>
            </w:r>
            <w:r w:rsidRPr="00B61C40">
              <w:rPr>
                <w:spacing w:val="-59"/>
              </w:rPr>
              <w:t xml:space="preserve"> </w:t>
            </w:r>
            <w:r w:rsidRPr="00B61C40">
              <w:t>Emergency</w:t>
            </w:r>
            <w:r w:rsidRPr="00B61C40">
              <w:rPr>
                <w:spacing w:val="-2"/>
              </w:rPr>
              <w:t xml:space="preserve"> </w:t>
            </w:r>
            <w:r w:rsidRPr="00B61C40">
              <w:t>Services</w:t>
            </w:r>
            <w:r w:rsidRPr="00B61C40">
              <w:rPr>
                <w:spacing w:val="-2"/>
              </w:rPr>
              <w:t xml:space="preserve"> </w:t>
            </w:r>
            <w:r w:rsidRPr="00B61C40">
              <w:t>(TFES).</w:t>
            </w:r>
          </w:p>
        </w:tc>
        <w:tc>
          <w:tcPr>
            <w:tcW w:w="1134" w:type="dxa"/>
            <w:shd w:val="clear" w:color="auto" w:fill="D9E1F3"/>
          </w:tcPr>
          <w:p w14:paraId="51887094" w14:textId="77777777" w:rsidR="005B0C9A" w:rsidRPr="00B61C40" w:rsidRDefault="005B0C9A" w:rsidP="00056799">
            <w:pPr>
              <w:pStyle w:val="TableParagraph"/>
              <w:ind w:left="8"/>
              <w:jc w:val="both"/>
            </w:pPr>
            <w:r w:rsidRPr="00B61C40">
              <w:t>5</w:t>
            </w:r>
          </w:p>
        </w:tc>
        <w:tc>
          <w:tcPr>
            <w:tcW w:w="993" w:type="dxa"/>
            <w:shd w:val="clear" w:color="auto" w:fill="D9E1F3"/>
          </w:tcPr>
          <w:p w14:paraId="7A53B13C" w14:textId="4CF602D7" w:rsidR="005B0C9A" w:rsidRPr="00B61C40" w:rsidRDefault="00346F95" w:rsidP="00056799">
            <w:pPr>
              <w:pStyle w:val="TableParagraph"/>
              <w:ind w:left="148" w:right="139"/>
              <w:jc w:val="both"/>
            </w:pPr>
            <w:hyperlink w:anchor="_bookmark53" w:history="1">
              <w:r w:rsidR="005B0C9A" w:rsidRPr="00B61C40">
                <w:t>71</w:t>
              </w:r>
            </w:hyperlink>
          </w:p>
        </w:tc>
      </w:tr>
      <w:tr w:rsidR="005B0C9A" w:rsidRPr="00B61C40" w14:paraId="3BC9C1EF" w14:textId="77777777" w:rsidTr="007F68B4">
        <w:trPr>
          <w:trHeight w:val="1920"/>
        </w:trPr>
        <w:tc>
          <w:tcPr>
            <w:tcW w:w="1529" w:type="dxa"/>
            <w:shd w:val="clear" w:color="auto" w:fill="D9E1F3"/>
          </w:tcPr>
          <w:p w14:paraId="1660FBF2" w14:textId="77777777" w:rsidR="005B0C9A" w:rsidRPr="00B61C40" w:rsidRDefault="005B0C9A" w:rsidP="00056799">
            <w:pPr>
              <w:pStyle w:val="TableParagraph"/>
              <w:ind w:left="140" w:right="131"/>
              <w:jc w:val="both"/>
            </w:pPr>
            <w:r w:rsidRPr="00B61C40">
              <w:t>15</w:t>
            </w:r>
          </w:p>
        </w:tc>
        <w:tc>
          <w:tcPr>
            <w:tcW w:w="6976" w:type="dxa"/>
            <w:shd w:val="clear" w:color="auto" w:fill="D9E1F3"/>
          </w:tcPr>
          <w:p w14:paraId="21AE2857" w14:textId="77777777" w:rsidR="005B0C9A" w:rsidRPr="00B61C40" w:rsidRDefault="005B0C9A" w:rsidP="00056799">
            <w:pPr>
              <w:pStyle w:val="TableParagraph"/>
              <w:numPr>
                <w:ilvl w:val="0"/>
                <w:numId w:val="39"/>
              </w:numPr>
              <w:tabs>
                <w:tab w:val="left" w:pos="685"/>
                <w:tab w:val="left" w:pos="686"/>
              </w:tabs>
              <w:spacing w:before="93" w:line="264" w:lineRule="auto"/>
              <w:ind w:right="455"/>
              <w:jc w:val="both"/>
            </w:pPr>
            <w:r w:rsidRPr="00B61C40">
              <w:t>Continue to source funding from the marketing and fire prevention</w:t>
            </w:r>
            <w:r w:rsidRPr="00B61C40">
              <w:rPr>
                <w:spacing w:val="1"/>
              </w:rPr>
              <w:t xml:space="preserve"> </w:t>
            </w:r>
            <w:r w:rsidRPr="00B61C40">
              <w:t>functions of Tasmania Fire and Emergency Services (TFES) and</w:t>
            </w:r>
            <w:r w:rsidRPr="00B61C40">
              <w:rPr>
                <w:spacing w:val="1"/>
              </w:rPr>
              <w:t xml:space="preserve"> </w:t>
            </w:r>
            <w:r w:rsidRPr="00B61C40">
              <w:t>miscellaneous revenue, with these being self-funding and not part of</w:t>
            </w:r>
            <w:r w:rsidRPr="00B61C40">
              <w:rPr>
                <w:spacing w:val="-59"/>
              </w:rPr>
              <w:t xml:space="preserve"> </w:t>
            </w:r>
            <w:r w:rsidRPr="00B61C40">
              <w:t>base-level</w:t>
            </w:r>
            <w:r w:rsidRPr="00B61C40">
              <w:rPr>
                <w:spacing w:val="-1"/>
              </w:rPr>
              <w:t xml:space="preserve"> </w:t>
            </w:r>
            <w:r w:rsidRPr="00B61C40">
              <w:t>funding.</w:t>
            </w:r>
          </w:p>
          <w:p w14:paraId="314E58A4" w14:textId="77777777" w:rsidR="005B0C9A" w:rsidRPr="00B61C40" w:rsidRDefault="005B0C9A" w:rsidP="00056799">
            <w:pPr>
              <w:pStyle w:val="TableParagraph"/>
              <w:numPr>
                <w:ilvl w:val="0"/>
                <w:numId w:val="39"/>
              </w:numPr>
              <w:tabs>
                <w:tab w:val="left" w:pos="685"/>
                <w:tab w:val="left" w:pos="686"/>
              </w:tabs>
              <w:spacing w:before="69" w:line="264" w:lineRule="auto"/>
              <w:ind w:right="176"/>
              <w:jc w:val="both"/>
            </w:pPr>
            <w:r w:rsidRPr="00B61C40">
              <w:t>Discontinue revenue streams from the Motor Accident Insurance Board</w:t>
            </w:r>
            <w:r w:rsidRPr="00B61C40">
              <w:rPr>
                <w:spacing w:val="-59"/>
              </w:rPr>
              <w:t xml:space="preserve"> </w:t>
            </w:r>
            <w:r w:rsidRPr="00B61C40">
              <w:t>(MAIB)</w:t>
            </w:r>
            <w:r w:rsidRPr="00B61C40">
              <w:rPr>
                <w:spacing w:val="-2"/>
              </w:rPr>
              <w:t xml:space="preserve"> </w:t>
            </w:r>
            <w:r w:rsidRPr="00B61C40">
              <w:t>for</w:t>
            </w:r>
            <w:r w:rsidRPr="00B61C40">
              <w:rPr>
                <w:spacing w:val="-1"/>
              </w:rPr>
              <w:t xml:space="preserve"> </w:t>
            </w:r>
            <w:r w:rsidRPr="00B61C40">
              <w:t>both</w:t>
            </w:r>
            <w:r w:rsidRPr="00B61C40">
              <w:rPr>
                <w:spacing w:val="-2"/>
              </w:rPr>
              <w:t xml:space="preserve"> </w:t>
            </w:r>
            <w:r w:rsidRPr="00B61C40">
              <w:t>TFS and</w:t>
            </w:r>
            <w:r w:rsidRPr="00B61C40">
              <w:rPr>
                <w:spacing w:val="-2"/>
              </w:rPr>
              <w:t xml:space="preserve"> </w:t>
            </w:r>
            <w:r w:rsidRPr="00B61C40">
              <w:t>SES.</w:t>
            </w:r>
          </w:p>
        </w:tc>
        <w:tc>
          <w:tcPr>
            <w:tcW w:w="1134" w:type="dxa"/>
            <w:shd w:val="clear" w:color="auto" w:fill="D9E1F3"/>
          </w:tcPr>
          <w:p w14:paraId="25AB468C" w14:textId="77777777" w:rsidR="005B0C9A" w:rsidRPr="00B61C40" w:rsidRDefault="005B0C9A" w:rsidP="00056799">
            <w:pPr>
              <w:pStyle w:val="TableParagraph"/>
              <w:ind w:left="8"/>
              <w:jc w:val="both"/>
            </w:pPr>
            <w:r w:rsidRPr="00B61C40">
              <w:t>5</w:t>
            </w:r>
          </w:p>
        </w:tc>
        <w:tc>
          <w:tcPr>
            <w:tcW w:w="993" w:type="dxa"/>
            <w:shd w:val="clear" w:color="auto" w:fill="D9E1F3"/>
          </w:tcPr>
          <w:p w14:paraId="36BE40D3" w14:textId="14D7DA8F" w:rsidR="005B0C9A" w:rsidRPr="00B61C40" w:rsidRDefault="00346F95" w:rsidP="00056799">
            <w:pPr>
              <w:pStyle w:val="TableParagraph"/>
              <w:ind w:left="148" w:right="139"/>
              <w:jc w:val="both"/>
            </w:pPr>
            <w:hyperlink w:anchor="_bookmark54" w:history="1">
              <w:r w:rsidR="005B0C9A" w:rsidRPr="00B61C40">
                <w:t>72</w:t>
              </w:r>
            </w:hyperlink>
          </w:p>
        </w:tc>
      </w:tr>
      <w:tr w:rsidR="005B0C9A" w:rsidRPr="00B61C40" w14:paraId="609137DD" w14:textId="77777777" w:rsidTr="007F68B4">
        <w:trPr>
          <w:trHeight w:val="1000"/>
        </w:trPr>
        <w:tc>
          <w:tcPr>
            <w:tcW w:w="1529" w:type="dxa"/>
            <w:shd w:val="clear" w:color="auto" w:fill="D9E1F3"/>
          </w:tcPr>
          <w:p w14:paraId="4621BB26" w14:textId="77777777" w:rsidR="005B0C9A" w:rsidRPr="00B61C40" w:rsidRDefault="005B0C9A" w:rsidP="00056799">
            <w:pPr>
              <w:pStyle w:val="TableParagraph"/>
              <w:ind w:left="140" w:right="131"/>
              <w:jc w:val="both"/>
            </w:pPr>
            <w:r w:rsidRPr="00B61C40">
              <w:t>16</w:t>
            </w:r>
          </w:p>
        </w:tc>
        <w:tc>
          <w:tcPr>
            <w:tcW w:w="6976" w:type="dxa"/>
            <w:shd w:val="clear" w:color="auto" w:fill="D9E1F3"/>
          </w:tcPr>
          <w:p w14:paraId="17158C08" w14:textId="77777777" w:rsidR="005B0C9A" w:rsidRPr="00B61C40" w:rsidRDefault="005B0C9A" w:rsidP="00056799">
            <w:pPr>
              <w:pStyle w:val="TableParagraph"/>
              <w:numPr>
                <w:ilvl w:val="0"/>
                <w:numId w:val="38"/>
              </w:numPr>
              <w:tabs>
                <w:tab w:val="left" w:pos="685"/>
                <w:tab w:val="left" w:pos="686"/>
              </w:tabs>
              <w:spacing w:before="93" w:line="264" w:lineRule="auto"/>
              <w:ind w:right="456"/>
              <w:jc w:val="both"/>
            </w:pPr>
            <w:r w:rsidRPr="00B61C40">
              <w:t>Continue contributions from the State Government but do not regard</w:t>
            </w:r>
            <w:r w:rsidRPr="00B61C40">
              <w:rPr>
                <w:spacing w:val="-59"/>
              </w:rPr>
              <w:t xml:space="preserve"> </w:t>
            </w:r>
            <w:r w:rsidRPr="00B61C40">
              <w:t>this as a source of base-level funding for Tasmania Fire and</w:t>
            </w:r>
            <w:r w:rsidRPr="00B61C40">
              <w:rPr>
                <w:spacing w:val="1"/>
              </w:rPr>
              <w:t xml:space="preserve"> </w:t>
            </w:r>
            <w:r w:rsidRPr="00B61C40">
              <w:t>Emergency</w:t>
            </w:r>
            <w:r w:rsidRPr="00B61C40">
              <w:rPr>
                <w:spacing w:val="-2"/>
              </w:rPr>
              <w:t xml:space="preserve"> </w:t>
            </w:r>
            <w:r w:rsidRPr="00B61C40">
              <w:t>Services</w:t>
            </w:r>
            <w:r w:rsidRPr="00B61C40">
              <w:rPr>
                <w:spacing w:val="-2"/>
              </w:rPr>
              <w:t xml:space="preserve"> </w:t>
            </w:r>
            <w:r w:rsidRPr="00B61C40">
              <w:t>(TFES).</w:t>
            </w:r>
          </w:p>
        </w:tc>
        <w:tc>
          <w:tcPr>
            <w:tcW w:w="1134" w:type="dxa"/>
            <w:shd w:val="clear" w:color="auto" w:fill="D9E1F3"/>
          </w:tcPr>
          <w:p w14:paraId="30A9BF9C" w14:textId="77777777" w:rsidR="005B0C9A" w:rsidRPr="00B61C40" w:rsidRDefault="005B0C9A" w:rsidP="00056799">
            <w:pPr>
              <w:pStyle w:val="TableParagraph"/>
              <w:ind w:left="8"/>
              <w:jc w:val="both"/>
            </w:pPr>
            <w:r w:rsidRPr="00B61C40">
              <w:t>5</w:t>
            </w:r>
          </w:p>
        </w:tc>
        <w:tc>
          <w:tcPr>
            <w:tcW w:w="993" w:type="dxa"/>
            <w:shd w:val="clear" w:color="auto" w:fill="D9E1F3"/>
          </w:tcPr>
          <w:p w14:paraId="7B28A00E" w14:textId="37E85B5E" w:rsidR="005B0C9A" w:rsidRPr="00B61C40" w:rsidRDefault="00346F95" w:rsidP="00056799">
            <w:pPr>
              <w:pStyle w:val="TableParagraph"/>
              <w:ind w:left="148" w:right="139"/>
              <w:jc w:val="both"/>
            </w:pPr>
            <w:hyperlink w:anchor="_bookmark55" w:history="1">
              <w:r w:rsidR="005B0C9A" w:rsidRPr="00B61C40">
                <w:t>73</w:t>
              </w:r>
            </w:hyperlink>
          </w:p>
        </w:tc>
      </w:tr>
      <w:tr w:rsidR="005B0C9A" w:rsidRPr="00B61C40" w14:paraId="3C673B5D" w14:textId="77777777" w:rsidTr="007F68B4">
        <w:trPr>
          <w:trHeight w:val="1281"/>
        </w:trPr>
        <w:tc>
          <w:tcPr>
            <w:tcW w:w="1529" w:type="dxa"/>
            <w:shd w:val="clear" w:color="auto" w:fill="D9E1F3"/>
          </w:tcPr>
          <w:p w14:paraId="52B56D12" w14:textId="77777777" w:rsidR="005B0C9A" w:rsidRPr="00B61C40" w:rsidRDefault="005B0C9A" w:rsidP="00056799">
            <w:pPr>
              <w:pStyle w:val="TableParagraph"/>
              <w:ind w:left="140" w:right="131"/>
              <w:jc w:val="both"/>
            </w:pPr>
            <w:r w:rsidRPr="00B61C40">
              <w:t>17</w:t>
            </w:r>
          </w:p>
        </w:tc>
        <w:tc>
          <w:tcPr>
            <w:tcW w:w="6976" w:type="dxa"/>
            <w:shd w:val="clear" w:color="auto" w:fill="D9E1F3"/>
          </w:tcPr>
          <w:p w14:paraId="15263005" w14:textId="77777777" w:rsidR="005B0C9A" w:rsidRPr="00B61C40" w:rsidRDefault="005B0C9A" w:rsidP="00056799">
            <w:pPr>
              <w:pStyle w:val="TableParagraph"/>
              <w:numPr>
                <w:ilvl w:val="0"/>
                <w:numId w:val="37"/>
              </w:numPr>
              <w:tabs>
                <w:tab w:val="left" w:pos="685"/>
                <w:tab w:val="left" w:pos="686"/>
              </w:tabs>
              <w:spacing w:before="93" w:line="266" w:lineRule="auto"/>
              <w:ind w:right="263"/>
              <w:jc w:val="both"/>
            </w:pPr>
            <w:r w:rsidRPr="00B61C40">
              <w:t>Include up to $5 million per annum in levy or Appropriation sources of</w:t>
            </w:r>
            <w:r w:rsidRPr="00B61C40">
              <w:rPr>
                <w:spacing w:val="1"/>
              </w:rPr>
              <w:t xml:space="preserve"> </w:t>
            </w:r>
            <w:r w:rsidRPr="00B61C40">
              <w:t>revenue for Tasmania Fire and Emergency Services (TFES) to pay for</w:t>
            </w:r>
            <w:r w:rsidRPr="00B61C40">
              <w:rPr>
                <w:spacing w:val="-59"/>
              </w:rPr>
              <w:t xml:space="preserve"> </w:t>
            </w:r>
            <w:r w:rsidRPr="00B61C40">
              <w:t>those State Emergency Service (SES) related functions and services</w:t>
            </w:r>
            <w:r w:rsidRPr="00B61C40">
              <w:rPr>
                <w:spacing w:val="1"/>
              </w:rPr>
              <w:t xml:space="preserve"> </w:t>
            </w:r>
            <w:r w:rsidRPr="00B61C40">
              <w:t>transitioned</w:t>
            </w:r>
            <w:r w:rsidRPr="00B61C40">
              <w:rPr>
                <w:spacing w:val="-3"/>
              </w:rPr>
              <w:t xml:space="preserve"> </w:t>
            </w:r>
            <w:r w:rsidRPr="00B61C40">
              <w:t>from local government to TFES.</w:t>
            </w:r>
          </w:p>
        </w:tc>
        <w:tc>
          <w:tcPr>
            <w:tcW w:w="1134" w:type="dxa"/>
            <w:shd w:val="clear" w:color="auto" w:fill="D9E1F3"/>
          </w:tcPr>
          <w:p w14:paraId="750CF98B" w14:textId="77777777" w:rsidR="005B0C9A" w:rsidRPr="00B61C40" w:rsidRDefault="005B0C9A" w:rsidP="00056799">
            <w:pPr>
              <w:pStyle w:val="TableParagraph"/>
              <w:ind w:left="8"/>
              <w:jc w:val="both"/>
            </w:pPr>
            <w:r w:rsidRPr="00B61C40">
              <w:t>5</w:t>
            </w:r>
          </w:p>
        </w:tc>
        <w:tc>
          <w:tcPr>
            <w:tcW w:w="993" w:type="dxa"/>
            <w:shd w:val="clear" w:color="auto" w:fill="D9E1F3"/>
          </w:tcPr>
          <w:p w14:paraId="0DCE3F83" w14:textId="6806008F" w:rsidR="005B0C9A" w:rsidRPr="00B61C40" w:rsidRDefault="00346F95" w:rsidP="00056799">
            <w:pPr>
              <w:pStyle w:val="TableParagraph"/>
              <w:ind w:left="148" w:right="139"/>
              <w:jc w:val="both"/>
            </w:pPr>
            <w:hyperlink w:anchor="_bookmark56" w:history="1">
              <w:r w:rsidR="005B0C9A" w:rsidRPr="00B61C40">
                <w:t>73</w:t>
              </w:r>
            </w:hyperlink>
          </w:p>
        </w:tc>
      </w:tr>
      <w:tr w:rsidR="005B0C9A" w:rsidRPr="00B61C40" w14:paraId="43DB58B4" w14:textId="77777777" w:rsidTr="007F68B4">
        <w:trPr>
          <w:trHeight w:val="2200"/>
        </w:trPr>
        <w:tc>
          <w:tcPr>
            <w:tcW w:w="1529" w:type="dxa"/>
            <w:shd w:val="clear" w:color="auto" w:fill="D9E1F3"/>
          </w:tcPr>
          <w:p w14:paraId="5F5D3028" w14:textId="77777777" w:rsidR="005B0C9A" w:rsidRPr="00B61C40" w:rsidRDefault="005B0C9A" w:rsidP="00056799">
            <w:pPr>
              <w:pStyle w:val="TableParagraph"/>
              <w:ind w:left="140" w:right="131"/>
              <w:jc w:val="both"/>
            </w:pPr>
            <w:r w:rsidRPr="00B61C40">
              <w:t>18</w:t>
            </w:r>
          </w:p>
        </w:tc>
        <w:tc>
          <w:tcPr>
            <w:tcW w:w="6976" w:type="dxa"/>
            <w:shd w:val="clear" w:color="auto" w:fill="D9E1F3"/>
          </w:tcPr>
          <w:p w14:paraId="150D526A" w14:textId="77777777" w:rsidR="005B0C9A" w:rsidRPr="00B61C40" w:rsidRDefault="005B0C9A" w:rsidP="00056799">
            <w:pPr>
              <w:pStyle w:val="TableParagraph"/>
              <w:numPr>
                <w:ilvl w:val="0"/>
                <w:numId w:val="36"/>
              </w:numPr>
              <w:tabs>
                <w:tab w:val="left" w:pos="685"/>
                <w:tab w:val="left" w:pos="686"/>
              </w:tabs>
              <w:spacing w:before="93" w:line="264" w:lineRule="auto"/>
              <w:ind w:right="837"/>
              <w:jc w:val="both"/>
            </w:pPr>
            <w:r w:rsidRPr="00B61C40">
              <w:t>Continue a property-based levy to provide the bulk of funding for</w:t>
            </w:r>
            <w:r w:rsidRPr="00B61C40">
              <w:rPr>
                <w:spacing w:val="-59"/>
              </w:rPr>
              <w:t xml:space="preserve"> </w:t>
            </w:r>
            <w:r w:rsidRPr="00B61C40">
              <w:t>Tasmania Fire and Emergency Services (TFES), basing it on a</w:t>
            </w:r>
            <w:r w:rsidRPr="00B61C40">
              <w:rPr>
                <w:spacing w:val="1"/>
              </w:rPr>
              <w:t xml:space="preserve"> </w:t>
            </w:r>
            <w:r w:rsidRPr="00B61C40">
              <w:t>property’s Average Annual Value (AAV) as determined by the</w:t>
            </w:r>
            <w:r w:rsidRPr="00B61C40">
              <w:rPr>
                <w:spacing w:val="1"/>
              </w:rPr>
              <w:t xml:space="preserve"> </w:t>
            </w:r>
            <w:r w:rsidRPr="00B61C40">
              <w:t>Valuer-General from time to time, with movements in the levy</w:t>
            </w:r>
            <w:r w:rsidRPr="00B61C40">
              <w:rPr>
                <w:spacing w:val="1"/>
              </w:rPr>
              <w:t xml:space="preserve"> </w:t>
            </w:r>
            <w:r w:rsidRPr="00B61C40">
              <w:t>determined</w:t>
            </w:r>
            <w:r w:rsidRPr="00B61C40">
              <w:rPr>
                <w:spacing w:val="-1"/>
              </w:rPr>
              <w:t xml:space="preserve"> </w:t>
            </w:r>
            <w:r w:rsidRPr="00B61C40">
              <w:t>by</w:t>
            </w:r>
            <w:r w:rsidRPr="00B61C40">
              <w:rPr>
                <w:spacing w:val="-2"/>
              </w:rPr>
              <w:t xml:space="preserve"> </w:t>
            </w:r>
            <w:r w:rsidRPr="00B61C40">
              <w:t>Treasury</w:t>
            </w:r>
            <w:r w:rsidRPr="00B61C40">
              <w:rPr>
                <w:spacing w:val="-2"/>
              </w:rPr>
              <w:t xml:space="preserve"> </w:t>
            </w:r>
            <w:r w:rsidRPr="00B61C40">
              <w:t>annually.</w:t>
            </w:r>
          </w:p>
          <w:p w14:paraId="3B1F64DB" w14:textId="77777777" w:rsidR="005B0C9A" w:rsidRPr="00B61C40" w:rsidRDefault="005B0C9A" w:rsidP="00056799">
            <w:pPr>
              <w:pStyle w:val="TableParagraph"/>
              <w:numPr>
                <w:ilvl w:val="0"/>
                <w:numId w:val="36"/>
              </w:numPr>
              <w:tabs>
                <w:tab w:val="left" w:pos="685"/>
                <w:tab w:val="left" w:pos="686"/>
              </w:tabs>
              <w:spacing w:before="71" w:line="264" w:lineRule="auto"/>
              <w:ind w:right="176"/>
              <w:jc w:val="both"/>
            </w:pPr>
            <w:r w:rsidRPr="00B61C40">
              <w:t>Determine the make-up of the levy, including consideration of fixed and</w:t>
            </w:r>
            <w:r w:rsidRPr="00B61C40">
              <w:rPr>
                <w:spacing w:val="-59"/>
              </w:rPr>
              <w:t xml:space="preserve"> </w:t>
            </w:r>
            <w:r w:rsidRPr="00B61C40">
              <w:t>variable</w:t>
            </w:r>
            <w:r w:rsidRPr="00B61C40">
              <w:rPr>
                <w:spacing w:val="-1"/>
              </w:rPr>
              <w:t xml:space="preserve"> </w:t>
            </w:r>
            <w:r w:rsidRPr="00B61C40">
              <w:t>components.</w:t>
            </w:r>
          </w:p>
        </w:tc>
        <w:tc>
          <w:tcPr>
            <w:tcW w:w="1134" w:type="dxa"/>
            <w:shd w:val="clear" w:color="auto" w:fill="D9E1F3"/>
          </w:tcPr>
          <w:p w14:paraId="3E6CEFD0" w14:textId="77777777" w:rsidR="005B0C9A" w:rsidRPr="00B61C40" w:rsidRDefault="005B0C9A" w:rsidP="00056799">
            <w:pPr>
              <w:pStyle w:val="TableParagraph"/>
              <w:ind w:left="8"/>
              <w:jc w:val="both"/>
            </w:pPr>
            <w:r w:rsidRPr="00B61C40">
              <w:t>5</w:t>
            </w:r>
          </w:p>
        </w:tc>
        <w:tc>
          <w:tcPr>
            <w:tcW w:w="993" w:type="dxa"/>
            <w:shd w:val="clear" w:color="auto" w:fill="D9E1F3"/>
          </w:tcPr>
          <w:p w14:paraId="7438D8A0" w14:textId="49505EDE" w:rsidR="005B0C9A" w:rsidRPr="00B61C40" w:rsidRDefault="00346F95" w:rsidP="00056799">
            <w:pPr>
              <w:pStyle w:val="TableParagraph"/>
              <w:ind w:left="148" w:right="139"/>
              <w:jc w:val="both"/>
            </w:pPr>
            <w:hyperlink w:anchor="_bookmark57" w:history="1">
              <w:r w:rsidR="005B0C9A" w:rsidRPr="00B61C40">
                <w:t>79</w:t>
              </w:r>
            </w:hyperlink>
          </w:p>
        </w:tc>
      </w:tr>
      <w:tr w:rsidR="005B0C9A" w:rsidRPr="00B61C40" w14:paraId="49770088" w14:textId="77777777" w:rsidTr="007F68B4">
        <w:trPr>
          <w:trHeight w:val="2198"/>
        </w:trPr>
        <w:tc>
          <w:tcPr>
            <w:tcW w:w="1529" w:type="dxa"/>
            <w:shd w:val="clear" w:color="auto" w:fill="D9E1F3"/>
          </w:tcPr>
          <w:p w14:paraId="50E6BE7E" w14:textId="77777777" w:rsidR="005B0C9A" w:rsidRPr="00B61C40" w:rsidRDefault="005B0C9A" w:rsidP="00056799">
            <w:pPr>
              <w:pStyle w:val="TableParagraph"/>
              <w:ind w:left="140" w:right="131"/>
              <w:jc w:val="both"/>
            </w:pPr>
            <w:r w:rsidRPr="00B61C40">
              <w:t>19</w:t>
            </w:r>
          </w:p>
        </w:tc>
        <w:tc>
          <w:tcPr>
            <w:tcW w:w="6976" w:type="dxa"/>
            <w:shd w:val="clear" w:color="auto" w:fill="D9E1F3"/>
          </w:tcPr>
          <w:p w14:paraId="3F26BE17" w14:textId="77777777" w:rsidR="005B0C9A" w:rsidRPr="00B61C40" w:rsidRDefault="005B0C9A" w:rsidP="00056799">
            <w:pPr>
              <w:pStyle w:val="TableParagraph"/>
              <w:numPr>
                <w:ilvl w:val="0"/>
                <w:numId w:val="35"/>
              </w:numPr>
              <w:tabs>
                <w:tab w:val="left" w:pos="685"/>
                <w:tab w:val="left" w:pos="686"/>
              </w:tabs>
              <w:spacing w:before="93" w:line="264" w:lineRule="auto"/>
              <w:ind w:right="897"/>
              <w:jc w:val="both"/>
            </w:pPr>
            <w:r w:rsidRPr="00B61C40">
              <w:t>Quantify and fund current concessions as a Community Service</w:t>
            </w:r>
            <w:r w:rsidRPr="00B61C40">
              <w:rPr>
                <w:spacing w:val="-59"/>
              </w:rPr>
              <w:t xml:space="preserve"> </w:t>
            </w:r>
            <w:r w:rsidRPr="00B61C40">
              <w:t>Obligation.</w:t>
            </w:r>
          </w:p>
          <w:p w14:paraId="4C575BC9" w14:textId="77777777" w:rsidR="005B0C9A" w:rsidRPr="00B61C40" w:rsidRDefault="005B0C9A" w:rsidP="00056799">
            <w:pPr>
              <w:pStyle w:val="TableParagraph"/>
              <w:numPr>
                <w:ilvl w:val="0"/>
                <w:numId w:val="35"/>
              </w:numPr>
              <w:tabs>
                <w:tab w:val="left" w:pos="685"/>
                <w:tab w:val="left" w:pos="686"/>
              </w:tabs>
              <w:spacing w:before="63" w:line="264" w:lineRule="auto"/>
              <w:ind w:right="163"/>
              <w:jc w:val="both"/>
            </w:pPr>
            <w:r w:rsidRPr="00B61C40">
              <w:t>Quantify and remove current exemptions for payment of the Fire</w:t>
            </w:r>
            <w:r w:rsidRPr="00B61C40">
              <w:rPr>
                <w:spacing w:val="1"/>
              </w:rPr>
              <w:t xml:space="preserve"> </w:t>
            </w:r>
            <w:r w:rsidRPr="00B61C40">
              <w:t>Service Contribution (FSC) levy, except for Crown Land, land managed</w:t>
            </w:r>
            <w:r w:rsidRPr="00B61C40">
              <w:rPr>
                <w:spacing w:val="-59"/>
              </w:rPr>
              <w:t xml:space="preserve"> </w:t>
            </w:r>
            <w:r w:rsidRPr="00B61C40">
              <w:t>by Sustainable Timber Tasmania (STT) and land and buildings owned</w:t>
            </w:r>
            <w:r w:rsidRPr="00B61C40">
              <w:rPr>
                <w:spacing w:val="1"/>
              </w:rPr>
              <w:t xml:space="preserve"> </w:t>
            </w:r>
            <w:r w:rsidRPr="00B61C40">
              <w:t>by Councils and by Government entities funded predominantly by</w:t>
            </w:r>
            <w:r w:rsidRPr="00B61C40">
              <w:rPr>
                <w:spacing w:val="1"/>
              </w:rPr>
              <w:t xml:space="preserve"> </w:t>
            </w:r>
            <w:r w:rsidRPr="00B61C40">
              <w:t>Appropriation.</w:t>
            </w:r>
          </w:p>
        </w:tc>
        <w:tc>
          <w:tcPr>
            <w:tcW w:w="1134" w:type="dxa"/>
            <w:shd w:val="clear" w:color="auto" w:fill="D9E1F3"/>
          </w:tcPr>
          <w:p w14:paraId="4E690948" w14:textId="77777777" w:rsidR="005B0C9A" w:rsidRPr="00B61C40" w:rsidRDefault="005B0C9A" w:rsidP="00056799">
            <w:pPr>
              <w:pStyle w:val="TableParagraph"/>
              <w:ind w:left="8"/>
              <w:jc w:val="both"/>
            </w:pPr>
            <w:r w:rsidRPr="00B61C40">
              <w:t>5</w:t>
            </w:r>
          </w:p>
        </w:tc>
        <w:tc>
          <w:tcPr>
            <w:tcW w:w="993" w:type="dxa"/>
            <w:shd w:val="clear" w:color="auto" w:fill="D9E1F3"/>
          </w:tcPr>
          <w:p w14:paraId="2E95F223" w14:textId="2B543A39" w:rsidR="005B0C9A" w:rsidRPr="00B61C40" w:rsidRDefault="00346F95" w:rsidP="00056799">
            <w:pPr>
              <w:pStyle w:val="TableParagraph"/>
              <w:ind w:left="148" w:right="139"/>
              <w:jc w:val="both"/>
            </w:pPr>
            <w:hyperlink w:anchor="_bookmark58" w:history="1">
              <w:r w:rsidR="005B0C9A" w:rsidRPr="00B61C40">
                <w:t>80</w:t>
              </w:r>
            </w:hyperlink>
          </w:p>
        </w:tc>
      </w:tr>
      <w:tr w:rsidR="005B0C9A" w:rsidRPr="00B61C40" w14:paraId="4AB43FA5" w14:textId="77777777" w:rsidTr="007F68B4">
        <w:trPr>
          <w:trHeight w:val="1000"/>
        </w:trPr>
        <w:tc>
          <w:tcPr>
            <w:tcW w:w="1529" w:type="dxa"/>
            <w:shd w:val="clear" w:color="auto" w:fill="D9E1F3"/>
          </w:tcPr>
          <w:p w14:paraId="755C36BF" w14:textId="77777777" w:rsidR="005B0C9A" w:rsidRPr="00B61C40" w:rsidRDefault="005B0C9A" w:rsidP="00056799">
            <w:pPr>
              <w:pStyle w:val="TableParagraph"/>
              <w:spacing w:before="129"/>
              <w:ind w:left="140" w:right="131"/>
              <w:jc w:val="both"/>
            </w:pPr>
            <w:r w:rsidRPr="00B61C40">
              <w:t>20</w:t>
            </w:r>
          </w:p>
        </w:tc>
        <w:tc>
          <w:tcPr>
            <w:tcW w:w="6976" w:type="dxa"/>
            <w:shd w:val="clear" w:color="auto" w:fill="D9E1F3"/>
          </w:tcPr>
          <w:p w14:paraId="3B056C42" w14:textId="77777777" w:rsidR="005B0C9A" w:rsidRDefault="005B0C9A" w:rsidP="008021AA">
            <w:pPr>
              <w:pStyle w:val="TableParagraph"/>
              <w:numPr>
                <w:ilvl w:val="0"/>
                <w:numId w:val="34"/>
              </w:numPr>
              <w:tabs>
                <w:tab w:val="left" w:pos="686"/>
              </w:tabs>
              <w:spacing w:before="95" w:line="264" w:lineRule="auto"/>
              <w:ind w:right="424"/>
              <w:jc w:val="both"/>
            </w:pPr>
            <w:r w:rsidRPr="00B61C40">
              <w:t>Ensure that funds raised for Tasmania Fire and Emergency Services</w:t>
            </w:r>
            <w:r w:rsidRPr="00B61C40">
              <w:rPr>
                <w:spacing w:val="-60"/>
              </w:rPr>
              <w:t xml:space="preserve"> </w:t>
            </w:r>
            <w:r w:rsidRPr="00B61C40">
              <w:t>(TFES) are paid into the Consolidated Fund and then ring-fenced for</w:t>
            </w:r>
            <w:r w:rsidRPr="00B61C40">
              <w:rPr>
                <w:spacing w:val="-59"/>
              </w:rPr>
              <w:t xml:space="preserve"> </w:t>
            </w:r>
            <w:r w:rsidRPr="00B61C40">
              <w:t>use</w:t>
            </w:r>
            <w:r w:rsidRPr="00B61C40">
              <w:rPr>
                <w:spacing w:val="-1"/>
              </w:rPr>
              <w:t xml:space="preserve"> </w:t>
            </w:r>
            <w:r w:rsidRPr="00B61C40">
              <w:t>by TFES.</w:t>
            </w:r>
          </w:p>
          <w:p w14:paraId="406062BE" w14:textId="77777777" w:rsidR="00B77AD0" w:rsidRDefault="00B77AD0" w:rsidP="00B77AD0">
            <w:pPr>
              <w:pStyle w:val="TableParagraph"/>
              <w:tabs>
                <w:tab w:val="left" w:pos="686"/>
              </w:tabs>
              <w:spacing w:before="95" w:line="264" w:lineRule="auto"/>
              <w:ind w:right="424"/>
              <w:jc w:val="both"/>
            </w:pPr>
          </w:p>
          <w:p w14:paraId="6C6F56F3" w14:textId="77777777" w:rsidR="00B77AD0" w:rsidRDefault="00B77AD0" w:rsidP="00B77AD0">
            <w:pPr>
              <w:pStyle w:val="TableParagraph"/>
              <w:tabs>
                <w:tab w:val="left" w:pos="686"/>
              </w:tabs>
              <w:spacing w:before="95" w:line="264" w:lineRule="auto"/>
              <w:ind w:right="424"/>
              <w:jc w:val="both"/>
            </w:pPr>
          </w:p>
          <w:p w14:paraId="6DAD3951" w14:textId="4CB8E67E" w:rsidR="00B77AD0" w:rsidRPr="00B61C40" w:rsidRDefault="00B77AD0" w:rsidP="00B77AD0">
            <w:pPr>
              <w:pStyle w:val="TableParagraph"/>
              <w:tabs>
                <w:tab w:val="left" w:pos="686"/>
              </w:tabs>
              <w:spacing w:before="95" w:line="264" w:lineRule="auto"/>
              <w:ind w:right="424"/>
              <w:jc w:val="both"/>
            </w:pPr>
          </w:p>
        </w:tc>
        <w:tc>
          <w:tcPr>
            <w:tcW w:w="1134" w:type="dxa"/>
            <w:shd w:val="clear" w:color="auto" w:fill="D9E1F3"/>
          </w:tcPr>
          <w:p w14:paraId="297CC30D" w14:textId="77777777" w:rsidR="005B0C9A" w:rsidRPr="00B61C40" w:rsidRDefault="005B0C9A" w:rsidP="00056799">
            <w:pPr>
              <w:pStyle w:val="TableParagraph"/>
              <w:spacing w:before="129"/>
              <w:ind w:left="8"/>
              <w:jc w:val="both"/>
            </w:pPr>
            <w:r w:rsidRPr="00B61C40">
              <w:t>5</w:t>
            </w:r>
          </w:p>
        </w:tc>
        <w:tc>
          <w:tcPr>
            <w:tcW w:w="993" w:type="dxa"/>
            <w:shd w:val="clear" w:color="auto" w:fill="D9E1F3"/>
          </w:tcPr>
          <w:p w14:paraId="32538F7B" w14:textId="594A72CC" w:rsidR="005B0C9A" w:rsidRPr="00B61C40" w:rsidRDefault="00346F95" w:rsidP="00056799">
            <w:pPr>
              <w:pStyle w:val="TableParagraph"/>
              <w:spacing w:before="129"/>
              <w:ind w:left="148" w:right="139"/>
              <w:jc w:val="both"/>
            </w:pPr>
            <w:hyperlink w:anchor="_bookmark59" w:history="1">
              <w:r w:rsidR="005B0C9A" w:rsidRPr="00B61C40">
                <w:t>80</w:t>
              </w:r>
            </w:hyperlink>
          </w:p>
        </w:tc>
      </w:tr>
      <w:tr w:rsidR="007F68B4" w:rsidRPr="00B61C40" w14:paraId="6D826C06" w14:textId="77777777" w:rsidTr="00FB408E">
        <w:trPr>
          <w:trHeight w:val="292"/>
        </w:trPr>
        <w:tc>
          <w:tcPr>
            <w:tcW w:w="8505" w:type="dxa"/>
            <w:gridSpan w:val="2"/>
            <w:vMerge w:val="restart"/>
            <w:shd w:val="clear" w:color="auto" w:fill="D9D9D9"/>
          </w:tcPr>
          <w:p w14:paraId="7E406039" w14:textId="77777777" w:rsidR="007F68B4" w:rsidRPr="00B61C40" w:rsidRDefault="007F68B4" w:rsidP="00FB408E">
            <w:pPr>
              <w:pStyle w:val="TableParagraph"/>
              <w:spacing w:before="172"/>
              <w:ind w:left="107"/>
              <w:jc w:val="both"/>
            </w:pPr>
            <w:bookmarkStart w:id="6" w:name="_Hlk115273453"/>
            <w:r w:rsidRPr="00B61C40">
              <w:rPr>
                <w:color w:val="2D74B5"/>
              </w:rPr>
              <w:lastRenderedPageBreak/>
              <w:t>Recommendation</w:t>
            </w:r>
          </w:p>
        </w:tc>
        <w:tc>
          <w:tcPr>
            <w:tcW w:w="2127" w:type="dxa"/>
            <w:gridSpan w:val="2"/>
            <w:shd w:val="clear" w:color="auto" w:fill="D9D9D9"/>
          </w:tcPr>
          <w:p w14:paraId="06B8758E" w14:textId="77777777" w:rsidR="007F68B4" w:rsidRPr="00B61C40" w:rsidRDefault="007F68B4"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7F68B4" w:rsidRPr="00B61C40" w14:paraId="0751FECD" w14:textId="77777777" w:rsidTr="00FB408E">
        <w:trPr>
          <w:trHeight w:val="292"/>
        </w:trPr>
        <w:tc>
          <w:tcPr>
            <w:tcW w:w="8505" w:type="dxa"/>
            <w:gridSpan w:val="2"/>
            <w:vMerge/>
            <w:tcBorders>
              <w:top w:val="nil"/>
            </w:tcBorders>
            <w:shd w:val="clear" w:color="auto" w:fill="D9D9D9"/>
          </w:tcPr>
          <w:p w14:paraId="3F771F29" w14:textId="77777777" w:rsidR="007F68B4" w:rsidRPr="00B61C40" w:rsidRDefault="007F68B4" w:rsidP="00FB408E">
            <w:pPr>
              <w:jc w:val="both"/>
              <w:rPr>
                <w:rFonts w:ascii="Arial" w:hAnsi="Arial" w:cs="Arial"/>
                <w:sz w:val="22"/>
                <w:szCs w:val="22"/>
              </w:rPr>
            </w:pPr>
          </w:p>
        </w:tc>
        <w:tc>
          <w:tcPr>
            <w:tcW w:w="1134" w:type="dxa"/>
            <w:shd w:val="clear" w:color="auto" w:fill="D9D9D9"/>
          </w:tcPr>
          <w:p w14:paraId="57F340D5" w14:textId="77777777" w:rsidR="007F68B4" w:rsidRPr="00B61C40" w:rsidRDefault="007F68B4"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2A0B1C86" w14:textId="77777777" w:rsidR="007F68B4" w:rsidRPr="00B61C40" w:rsidRDefault="007F68B4" w:rsidP="00FB408E">
            <w:pPr>
              <w:pStyle w:val="TableParagraph"/>
              <w:spacing w:before="21" w:line="251" w:lineRule="exact"/>
              <w:ind w:left="148" w:right="139"/>
              <w:jc w:val="both"/>
            </w:pPr>
            <w:r w:rsidRPr="00B61C40">
              <w:rPr>
                <w:color w:val="2D74B5"/>
              </w:rPr>
              <w:t>Page</w:t>
            </w:r>
          </w:p>
        </w:tc>
      </w:tr>
      <w:bookmarkEnd w:id="6"/>
      <w:tr w:rsidR="005B0C9A" w:rsidRPr="00B61C40" w14:paraId="0DDD00D4" w14:textId="77777777" w:rsidTr="007F68B4">
        <w:trPr>
          <w:trHeight w:val="1641"/>
        </w:trPr>
        <w:tc>
          <w:tcPr>
            <w:tcW w:w="1529" w:type="dxa"/>
            <w:shd w:val="clear" w:color="auto" w:fill="D9E1F3"/>
          </w:tcPr>
          <w:p w14:paraId="7FFA6E3C" w14:textId="77777777" w:rsidR="005B0C9A" w:rsidRPr="00B61C40" w:rsidRDefault="005B0C9A" w:rsidP="00056799">
            <w:pPr>
              <w:pStyle w:val="TableParagraph"/>
              <w:ind w:left="140" w:right="131"/>
              <w:jc w:val="both"/>
            </w:pPr>
            <w:r w:rsidRPr="00B61C40">
              <w:t>21</w:t>
            </w:r>
          </w:p>
        </w:tc>
        <w:tc>
          <w:tcPr>
            <w:tcW w:w="6976" w:type="dxa"/>
            <w:shd w:val="clear" w:color="auto" w:fill="D9E1F3"/>
          </w:tcPr>
          <w:p w14:paraId="4563F712" w14:textId="77777777" w:rsidR="005B0C9A" w:rsidRPr="00B61C40" w:rsidRDefault="005B0C9A" w:rsidP="00056799">
            <w:pPr>
              <w:pStyle w:val="TableParagraph"/>
              <w:numPr>
                <w:ilvl w:val="0"/>
                <w:numId w:val="33"/>
              </w:numPr>
              <w:tabs>
                <w:tab w:val="left" w:pos="685"/>
                <w:tab w:val="left" w:pos="686"/>
              </w:tabs>
              <w:spacing w:before="93" w:line="264" w:lineRule="auto"/>
              <w:ind w:right="299"/>
              <w:jc w:val="both"/>
            </w:pPr>
            <w:r w:rsidRPr="00B61C40">
              <w:t>Develop transition arrangements that mitigate the impacts on property</w:t>
            </w:r>
            <w:r w:rsidRPr="00B61C40">
              <w:rPr>
                <w:spacing w:val="-59"/>
              </w:rPr>
              <w:t xml:space="preserve"> </w:t>
            </w:r>
            <w:r w:rsidRPr="00B61C40">
              <w:t>owners of</w:t>
            </w:r>
            <w:r w:rsidRPr="00B61C40">
              <w:rPr>
                <w:spacing w:val="2"/>
              </w:rPr>
              <w:t xml:space="preserve"> </w:t>
            </w:r>
            <w:r w:rsidRPr="00B61C40">
              <w:t>an</w:t>
            </w:r>
            <w:r w:rsidRPr="00B61C40">
              <w:rPr>
                <w:spacing w:val="-2"/>
              </w:rPr>
              <w:t xml:space="preserve"> </w:t>
            </w:r>
            <w:r w:rsidRPr="00B61C40">
              <w:t>increase</w:t>
            </w:r>
            <w:r w:rsidRPr="00B61C40">
              <w:rPr>
                <w:spacing w:val="-2"/>
              </w:rPr>
              <w:t xml:space="preserve"> </w:t>
            </w:r>
            <w:r w:rsidRPr="00B61C40">
              <w:t>in</w:t>
            </w:r>
            <w:r w:rsidRPr="00B61C40">
              <w:rPr>
                <w:spacing w:val="-2"/>
              </w:rPr>
              <w:t xml:space="preserve"> </w:t>
            </w:r>
            <w:r w:rsidRPr="00B61C40">
              <w:t>a property-based</w:t>
            </w:r>
            <w:r w:rsidRPr="00B61C40">
              <w:rPr>
                <w:spacing w:val="-1"/>
              </w:rPr>
              <w:t xml:space="preserve"> </w:t>
            </w:r>
            <w:r w:rsidRPr="00B61C40">
              <w:t>levy.</w:t>
            </w:r>
          </w:p>
          <w:p w14:paraId="270A505F" w14:textId="77777777" w:rsidR="005B0C9A" w:rsidRPr="00B61C40" w:rsidRDefault="005B0C9A" w:rsidP="00056799">
            <w:pPr>
              <w:pStyle w:val="TableParagraph"/>
              <w:numPr>
                <w:ilvl w:val="0"/>
                <w:numId w:val="33"/>
              </w:numPr>
              <w:tabs>
                <w:tab w:val="left" w:pos="685"/>
                <w:tab w:val="left" w:pos="686"/>
              </w:tabs>
              <w:spacing w:before="66" w:line="264" w:lineRule="auto"/>
              <w:ind w:right="220"/>
              <w:jc w:val="both"/>
            </w:pPr>
            <w:r w:rsidRPr="00B61C40">
              <w:t>Engage with the Insurance Council of Australia and property owners to</w:t>
            </w:r>
            <w:r w:rsidRPr="00B61C40">
              <w:rPr>
                <w:spacing w:val="-59"/>
              </w:rPr>
              <w:t xml:space="preserve"> </w:t>
            </w:r>
            <w:r w:rsidRPr="00B61C40">
              <w:t>quantify benefits from lower insurance premiums and consider how</w:t>
            </w:r>
            <w:r w:rsidRPr="00B61C40">
              <w:rPr>
                <w:spacing w:val="1"/>
              </w:rPr>
              <w:t xml:space="preserve"> </w:t>
            </w:r>
            <w:r w:rsidRPr="00B61C40">
              <w:t>these</w:t>
            </w:r>
            <w:r w:rsidRPr="00B61C40">
              <w:rPr>
                <w:spacing w:val="-3"/>
              </w:rPr>
              <w:t xml:space="preserve"> </w:t>
            </w:r>
            <w:r w:rsidRPr="00B61C40">
              <w:t>might</w:t>
            </w:r>
            <w:r w:rsidRPr="00B61C40">
              <w:rPr>
                <w:spacing w:val="-1"/>
              </w:rPr>
              <w:t xml:space="preserve"> </w:t>
            </w:r>
            <w:r w:rsidRPr="00B61C40">
              <w:t>be shared</w:t>
            </w:r>
            <w:r w:rsidRPr="00B61C40">
              <w:rPr>
                <w:spacing w:val="-1"/>
              </w:rPr>
              <w:t xml:space="preserve"> </w:t>
            </w:r>
            <w:r w:rsidRPr="00B61C40">
              <w:t>with</w:t>
            </w:r>
            <w:r w:rsidRPr="00B61C40">
              <w:rPr>
                <w:spacing w:val="-2"/>
              </w:rPr>
              <w:t xml:space="preserve"> </w:t>
            </w:r>
            <w:r w:rsidRPr="00B61C40">
              <w:t>the broader</w:t>
            </w:r>
            <w:r w:rsidRPr="00B61C40">
              <w:rPr>
                <w:spacing w:val="-1"/>
              </w:rPr>
              <w:t xml:space="preserve"> </w:t>
            </w:r>
            <w:r w:rsidRPr="00B61C40">
              <w:t>community.</w:t>
            </w:r>
          </w:p>
        </w:tc>
        <w:tc>
          <w:tcPr>
            <w:tcW w:w="1134" w:type="dxa"/>
            <w:shd w:val="clear" w:color="auto" w:fill="D9E1F3"/>
          </w:tcPr>
          <w:p w14:paraId="51BA1664" w14:textId="77777777" w:rsidR="005B0C9A" w:rsidRPr="00B61C40" w:rsidRDefault="005B0C9A" w:rsidP="00056799">
            <w:pPr>
              <w:pStyle w:val="TableParagraph"/>
              <w:ind w:left="8"/>
              <w:jc w:val="both"/>
            </w:pPr>
            <w:r w:rsidRPr="00B61C40">
              <w:t>5</w:t>
            </w:r>
          </w:p>
        </w:tc>
        <w:tc>
          <w:tcPr>
            <w:tcW w:w="993" w:type="dxa"/>
            <w:shd w:val="clear" w:color="auto" w:fill="D9E1F3"/>
          </w:tcPr>
          <w:p w14:paraId="6AF9D7E9" w14:textId="1822F100" w:rsidR="005B0C9A" w:rsidRPr="00B61C40" w:rsidRDefault="00346F95" w:rsidP="00056799">
            <w:pPr>
              <w:pStyle w:val="TableParagraph"/>
              <w:ind w:left="148" w:right="139"/>
              <w:jc w:val="both"/>
            </w:pPr>
            <w:hyperlink w:anchor="_bookmark60" w:history="1">
              <w:r w:rsidR="005B0C9A" w:rsidRPr="00B61C40">
                <w:t>81</w:t>
              </w:r>
            </w:hyperlink>
          </w:p>
        </w:tc>
      </w:tr>
      <w:tr w:rsidR="005B0C9A" w:rsidRPr="00B61C40" w14:paraId="47870C19" w14:textId="77777777" w:rsidTr="007F68B4">
        <w:trPr>
          <w:trHeight w:val="1720"/>
        </w:trPr>
        <w:tc>
          <w:tcPr>
            <w:tcW w:w="1529" w:type="dxa"/>
            <w:shd w:val="clear" w:color="auto" w:fill="D9E1F3"/>
          </w:tcPr>
          <w:p w14:paraId="7275902A" w14:textId="77777777" w:rsidR="005B0C9A" w:rsidRPr="00B61C40" w:rsidRDefault="005B0C9A" w:rsidP="00056799">
            <w:pPr>
              <w:pStyle w:val="TableParagraph"/>
              <w:ind w:left="140" w:right="131"/>
              <w:jc w:val="both"/>
            </w:pPr>
            <w:r w:rsidRPr="00B61C40">
              <w:t>22</w:t>
            </w:r>
          </w:p>
        </w:tc>
        <w:tc>
          <w:tcPr>
            <w:tcW w:w="6976" w:type="dxa"/>
            <w:shd w:val="clear" w:color="auto" w:fill="D9E1F3"/>
          </w:tcPr>
          <w:p w14:paraId="2328A295" w14:textId="77777777" w:rsidR="005B0C9A" w:rsidRPr="00B61C40" w:rsidRDefault="005B0C9A" w:rsidP="00056799">
            <w:pPr>
              <w:pStyle w:val="TableParagraph"/>
              <w:numPr>
                <w:ilvl w:val="0"/>
                <w:numId w:val="32"/>
              </w:numPr>
              <w:tabs>
                <w:tab w:val="left" w:pos="685"/>
                <w:tab w:val="left" w:pos="686"/>
              </w:tabs>
              <w:spacing w:before="93" w:line="264" w:lineRule="auto"/>
              <w:ind w:right="141"/>
              <w:jc w:val="both"/>
            </w:pPr>
            <w:r w:rsidRPr="00B61C40">
              <w:t>Discontinue local government funding of SES and their support for local</w:t>
            </w:r>
            <w:r w:rsidRPr="00B61C40">
              <w:rPr>
                <w:spacing w:val="-59"/>
              </w:rPr>
              <w:t xml:space="preserve"> </w:t>
            </w:r>
            <w:r w:rsidRPr="00B61C40">
              <w:t>units.</w:t>
            </w:r>
          </w:p>
          <w:p w14:paraId="68F1E367" w14:textId="77777777" w:rsidR="005B0C9A" w:rsidRPr="00B61C40" w:rsidRDefault="005B0C9A" w:rsidP="00056799">
            <w:pPr>
              <w:pStyle w:val="TableParagraph"/>
              <w:numPr>
                <w:ilvl w:val="0"/>
                <w:numId w:val="32"/>
              </w:numPr>
              <w:tabs>
                <w:tab w:val="left" w:pos="685"/>
                <w:tab w:val="left" w:pos="686"/>
              </w:tabs>
              <w:spacing w:before="66" w:line="264" w:lineRule="auto"/>
              <w:ind w:right="615"/>
              <w:jc w:val="both"/>
            </w:pPr>
            <w:r w:rsidRPr="00B61C40">
              <w:t>Transition all Councils’ associated resources to Tasmania Fire and</w:t>
            </w:r>
            <w:r w:rsidRPr="00B61C40">
              <w:rPr>
                <w:spacing w:val="-59"/>
              </w:rPr>
              <w:t xml:space="preserve"> </w:t>
            </w:r>
            <w:r w:rsidRPr="00B61C40">
              <w:t>Emergency</w:t>
            </w:r>
            <w:r w:rsidRPr="00B61C40">
              <w:rPr>
                <w:spacing w:val="-2"/>
              </w:rPr>
              <w:t xml:space="preserve"> </w:t>
            </w:r>
            <w:r w:rsidRPr="00B61C40">
              <w:t>Services</w:t>
            </w:r>
            <w:r w:rsidRPr="00B61C40">
              <w:rPr>
                <w:spacing w:val="-2"/>
              </w:rPr>
              <w:t xml:space="preserve"> </w:t>
            </w:r>
            <w:r w:rsidRPr="00B61C40">
              <w:t>(TFES).</w:t>
            </w:r>
          </w:p>
          <w:p w14:paraId="22ADC5E1" w14:textId="77777777" w:rsidR="005B0C9A" w:rsidRPr="00B61C40" w:rsidRDefault="005B0C9A" w:rsidP="00056799">
            <w:pPr>
              <w:pStyle w:val="TableParagraph"/>
              <w:numPr>
                <w:ilvl w:val="0"/>
                <w:numId w:val="32"/>
              </w:numPr>
              <w:tabs>
                <w:tab w:val="left" w:pos="685"/>
                <w:tab w:val="left" w:pos="686"/>
              </w:tabs>
              <w:spacing w:before="66"/>
              <w:jc w:val="both"/>
            </w:pPr>
            <w:r w:rsidRPr="00B61C40">
              <w:t>Develop</w:t>
            </w:r>
            <w:r w:rsidRPr="00B61C40">
              <w:rPr>
                <w:spacing w:val="-2"/>
              </w:rPr>
              <w:t xml:space="preserve"> </w:t>
            </w:r>
            <w:r w:rsidRPr="00B61C40">
              <w:t>a</w:t>
            </w:r>
            <w:r w:rsidRPr="00B61C40">
              <w:rPr>
                <w:spacing w:val="-2"/>
              </w:rPr>
              <w:t xml:space="preserve"> </w:t>
            </w:r>
            <w:r w:rsidRPr="00B61C40">
              <w:t>transition</w:t>
            </w:r>
            <w:r w:rsidRPr="00B61C40">
              <w:rPr>
                <w:spacing w:val="-2"/>
              </w:rPr>
              <w:t xml:space="preserve"> </w:t>
            </w:r>
            <w:r w:rsidRPr="00B61C40">
              <w:t>plan</w:t>
            </w:r>
            <w:r w:rsidRPr="00B61C40">
              <w:rPr>
                <w:spacing w:val="-4"/>
              </w:rPr>
              <w:t xml:space="preserve"> </w:t>
            </w:r>
            <w:r w:rsidRPr="00B61C40">
              <w:t>with Councils.</w:t>
            </w:r>
          </w:p>
        </w:tc>
        <w:tc>
          <w:tcPr>
            <w:tcW w:w="1134" w:type="dxa"/>
            <w:shd w:val="clear" w:color="auto" w:fill="D9E1F3"/>
          </w:tcPr>
          <w:p w14:paraId="7F8D0BF2" w14:textId="77777777" w:rsidR="005B0C9A" w:rsidRPr="00B61C40" w:rsidRDefault="005B0C9A" w:rsidP="00056799">
            <w:pPr>
              <w:pStyle w:val="TableParagraph"/>
              <w:ind w:left="8"/>
              <w:jc w:val="both"/>
            </w:pPr>
            <w:r w:rsidRPr="00B61C40">
              <w:t>5</w:t>
            </w:r>
          </w:p>
        </w:tc>
        <w:tc>
          <w:tcPr>
            <w:tcW w:w="993" w:type="dxa"/>
            <w:shd w:val="clear" w:color="auto" w:fill="D9E1F3"/>
          </w:tcPr>
          <w:p w14:paraId="6110407E" w14:textId="0F844E44" w:rsidR="005B0C9A" w:rsidRPr="00B61C40" w:rsidRDefault="00346F95" w:rsidP="00056799">
            <w:pPr>
              <w:pStyle w:val="TableParagraph"/>
              <w:ind w:left="148" w:right="139"/>
              <w:jc w:val="both"/>
            </w:pPr>
            <w:hyperlink w:anchor="_bookmark62" w:history="1">
              <w:r w:rsidR="005B0C9A" w:rsidRPr="00B61C40">
                <w:t>83</w:t>
              </w:r>
            </w:hyperlink>
          </w:p>
        </w:tc>
      </w:tr>
      <w:tr w:rsidR="005B0C9A" w:rsidRPr="00B61C40" w14:paraId="4FB1B0C5" w14:textId="77777777" w:rsidTr="007F68B4">
        <w:trPr>
          <w:trHeight w:val="998"/>
        </w:trPr>
        <w:tc>
          <w:tcPr>
            <w:tcW w:w="1529" w:type="dxa"/>
            <w:shd w:val="clear" w:color="auto" w:fill="D9E1F3"/>
          </w:tcPr>
          <w:p w14:paraId="22E7EB42" w14:textId="77777777" w:rsidR="005B0C9A" w:rsidRPr="00B61C40" w:rsidRDefault="005B0C9A" w:rsidP="00056799">
            <w:pPr>
              <w:pStyle w:val="TableParagraph"/>
              <w:ind w:left="140" w:right="131"/>
              <w:jc w:val="both"/>
            </w:pPr>
            <w:r w:rsidRPr="00B61C40">
              <w:t>23</w:t>
            </w:r>
          </w:p>
        </w:tc>
        <w:tc>
          <w:tcPr>
            <w:tcW w:w="6976" w:type="dxa"/>
            <w:shd w:val="clear" w:color="auto" w:fill="D9E1F3"/>
          </w:tcPr>
          <w:p w14:paraId="36390417" w14:textId="77777777" w:rsidR="005B0C9A" w:rsidRPr="00B61C40" w:rsidRDefault="005B0C9A" w:rsidP="00056799">
            <w:pPr>
              <w:pStyle w:val="TableParagraph"/>
              <w:numPr>
                <w:ilvl w:val="0"/>
                <w:numId w:val="31"/>
              </w:numPr>
              <w:tabs>
                <w:tab w:val="left" w:pos="685"/>
                <w:tab w:val="left" w:pos="686"/>
              </w:tabs>
              <w:spacing w:before="93" w:line="264" w:lineRule="auto"/>
              <w:ind w:right="251"/>
              <w:jc w:val="both"/>
            </w:pPr>
            <w:r w:rsidRPr="00B61C40">
              <w:t>Do not fund Tasmania Fire and Emergency Services (TFES) by</w:t>
            </w:r>
            <w:r w:rsidRPr="00B61C40">
              <w:rPr>
                <w:spacing w:val="1"/>
              </w:rPr>
              <w:t xml:space="preserve"> </w:t>
            </w:r>
            <w:r w:rsidRPr="00B61C40">
              <w:t>Appropriation – because doing so may disincentivise property owners</w:t>
            </w:r>
            <w:r w:rsidRPr="00B61C40">
              <w:rPr>
                <w:spacing w:val="1"/>
              </w:rPr>
              <w:t xml:space="preserve"> </w:t>
            </w:r>
            <w:r w:rsidRPr="00B61C40">
              <w:t>from</w:t>
            </w:r>
            <w:r w:rsidRPr="00B61C40">
              <w:rPr>
                <w:spacing w:val="-1"/>
              </w:rPr>
              <w:t xml:space="preserve"> </w:t>
            </w:r>
            <w:r w:rsidRPr="00B61C40">
              <w:t>properly</w:t>
            </w:r>
            <w:r w:rsidRPr="00B61C40">
              <w:rPr>
                <w:spacing w:val="-3"/>
              </w:rPr>
              <w:t xml:space="preserve"> </w:t>
            </w:r>
            <w:r w:rsidRPr="00B61C40">
              <w:t>insuring</w:t>
            </w:r>
            <w:r w:rsidRPr="00B61C40">
              <w:rPr>
                <w:spacing w:val="-4"/>
              </w:rPr>
              <w:t xml:space="preserve"> </w:t>
            </w:r>
            <w:r w:rsidRPr="00B61C40">
              <w:t>their properties</w:t>
            </w:r>
            <w:r w:rsidRPr="00B61C40">
              <w:rPr>
                <w:spacing w:val="-4"/>
              </w:rPr>
              <w:t xml:space="preserve"> </w:t>
            </w:r>
            <w:r w:rsidRPr="00B61C40">
              <w:t>or</w:t>
            </w:r>
            <w:r w:rsidRPr="00B61C40">
              <w:rPr>
                <w:spacing w:val="-2"/>
              </w:rPr>
              <w:t xml:space="preserve"> </w:t>
            </w:r>
            <w:r w:rsidRPr="00B61C40">
              <w:t>being</w:t>
            </w:r>
            <w:r w:rsidRPr="00B61C40">
              <w:rPr>
                <w:spacing w:val="-2"/>
              </w:rPr>
              <w:t xml:space="preserve"> </w:t>
            </w:r>
            <w:r w:rsidRPr="00B61C40">
              <w:t>appropriately</w:t>
            </w:r>
            <w:r w:rsidRPr="00B61C40">
              <w:rPr>
                <w:spacing w:val="-3"/>
              </w:rPr>
              <w:t xml:space="preserve"> </w:t>
            </w:r>
            <w:r w:rsidRPr="00B61C40">
              <w:t>prepared.</w:t>
            </w:r>
          </w:p>
        </w:tc>
        <w:tc>
          <w:tcPr>
            <w:tcW w:w="1134" w:type="dxa"/>
            <w:shd w:val="clear" w:color="auto" w:fill="D9E1F3"/>
          </w:tcPr>
          <w:p w14:paraId="445EBA46" w14:textId="77777777" w:rsidR="005B0C9A" w:rsidRPr="00B61C40" w:rsidRDefault="005B0C9A" w:rsidP="00056799">
            <w:pPr>
              <w:pStyle w:val="TableParagraph"/>
              <w:ind w:left="8"/>
              <w:jc w:val="both"/>
            </w:pPr>
            <w:r w:rsidRPr="00B61C40">
              <w:t>5</w:t>
            </w:r>
          </w:p>
        </w:tc>
        <w:tc>
          <w:tcPr>
            <w:tcW w:w="993" w:type="dxa"/>
            <w:shd w:val="clear" w:color="auto" w:fill="D9E1F3"/>
          </w:tcPr>
          <w:p w14:paraId="011CFA0F" w14:textId="61BB4232" w:rsidR="005B0C9A" w:rsidRPr="00B61C40" w:rsidRDefault="00346F95" w:rsidP="00056799">
            <w:pPr>
              <w:pStyle w:val="TableParagraph"/>
              <w:ind w:left="148" w:right="139"/>
              <w:jc w:val="both"/>
            </w:pPr>
            <w:hyperlink w:anchor="_bookmark64" w:history="1">
              <w:r w:rsidR="005B0C9A" w:rsidRPr="00B61C40">
                <w:t>84</w:t>
              </w:r>
            </w:hyperlink>
          </w:p>
        </w:tc>
      </w:tr>
      <w:tr w:rsidR="005B0C9A" w:rsidRPr="00B61C40" w14:paraId="0B115B80" w14:textId="77777777" w:rsidTr="007F68B4">
        <w:trPr>
          <w:trHeight w:val="1281"/>
        </w:trPr>
        <w:tc>
          <w:tcPr>
            <w:tcW w:w="1529" w:type="dxa"/>
            <w:shd w:val="clear" w:color="auto" w:fill="D9E1F3"/>
          </w:tcPr>
          <w:p w14:paraId="6ED74C8F" w14:textId="77777777" w:rsidR="005B0C9A" w:rsidRPr="00B61C40" w:rsidRDefault="005B0C9A" w:rsidP="00056799">
            <w:pPr>
              <w:pStyle w:val="TableParagraph"/>
              <w:spacing w:before="129"/>
              <w:ind w:left="140" w:right="131"/>
              <w:jc w:val="both"/>
            </w:pPr>
            <w:r w:rsidRPr="00B61C40">
              <w:t>24</w:t>
            </w:r>
          </w:p>
        </w:tc>
        <w:tc>
          <w:tcPr>
            <w:tcW w:w="6976" w:type="dxa"/>
            <w:shd w:val="clear" w:color="auto" w:fill="D9E1F3"/>
          </w:tcPr>
          <w:p w14:paraId="54A0EAD5" w14:textId="77777777" w:rsidR="005B0C9A" w:rsidRPr="00B61C40" w:rsidRDefault="005B0C9A" w:rsidP="00056799">
            <w:pPr>
              <w:pStyle w:val="TableParagraph"/>
              <w:numPr>
                <w:ilvl w:val="0"/>
                <w:numId w:val="30"/>
              </w:numPr>
              <w:tabs>
                <w:tab w:val="left" w:pos="685"/>
                <w:tab w:val="left" w:pos="686"/>
              </w:tabs>
              <w:spacing w:before="95" w:line="264" w:lineRule="auto"/>
              <w:ind w:right="322"/>
              <w:jc w:val="both"/>
            </w:pPr>
            <w:r w:rsidRPr="00B61C40">
              <w:t>Have Treasury be responsible for calculating, but not on its own</w:t>
            </w:r>
            <w:r w:rsidRPr="00B61C40">
              <w:rPr>
                <w:spacing w:val="1"/>
              </w:rPr>
              <w:t xml:space="preserve"> </w:t>
            </w:r>
            <w:r w:rsidRPr="00B61C40">
              <w:t>determining – determination will require input from Tasmania Fire and</w:t>
            </w:r>
            <w:r w:rsidRPr="00B61C40">
              <w:rPr>
                <w:spacing w:val="-59"/>
              </w:rPr>
              <w:t xml:space="preserve"> </w:t>
            </w:r>
            <w:r w:rsidRPr="00B61C40">
              <w:t>Emergency Services (TFES) – the amount to be collected by local</w:t>
            </w:r>
            <w:r w:rsidRPr="00B61C40">
              <w:rPr>
                <w:spacing w:val="1"/>
              </w:rPr>
              <w:t xml:space="preserve"> </w:t>
            </w:r>
            <w:r w:rsidRPr="00B61C40">
              <w:t>government</w:t>
            </w:r>
            <w:r w:rsidRPr="00B61C40">
              <w:rPr>
                <w:spacing w:val="-2"/>
              </w:rPr>
              <w:t xml:space="preserve"> </w:t>
            </w:r>
            <w:r w:rsidRPr="00B61C40">
              <w:t>from</w:t>
            </w:r>
            <w:r w:rsidRPr="00B61C40">
              <w:rPr>
                <w:spacing w:val="-1"/>
              </w:rPr>
              <w:t xml:space="preserve"> </w:t>
            </w:r>
            <w:r w:rsidRPr="00B61C40">
              <w:t>the</w:t>
            </w:r>
            <w:r w:rsidRPr="00B61C40">
              <w:rPr>
                <w:spacing w:val="-2"/>
              </w:rPr>
              <w:t xml:space="preserve"> </w:t>
            </w:r>
            <w:r w:rsidRPr="00B61C40">
              <w:t>property-based levy</w:t>
            </w:r>
            <w:r w:rsidRPr="00B61C40">
              <w:rPr>
                <w:spacing w:val="-2"/>
              </w:rPr>
              <w:t xml:space="preserve"> </w:t>
            </w:r>
            <w:r w:rsidRPr="00B61C40">
              <w:t>annually.</w:t>
            </w:r>
          </w:p>
        </w:tc>
        <w:tc>
          <w:tcPr>
            <w:tcW w:w="1134" w:type="dxa"/>
            <w:shd w:val="clear" w:color="auto" w:fill="D9E1F3"/>
          </w:tcPr>
          <w:p w14:paraId="3C5DC1F9" w14:textId="77777777" w:rsidR="005B0C9A" w:rsidRPr="00B61C40" w:rsidRDefault="005B0C9A" w:rsidP="00056799">
            <w:pPr>
              <w:pStyle w:val="TableParagraph"/>
              <w:spacing w:before="129"/>
              <w:ind w:left="8"/>
              <w:jc w:val="both"/>
            </w:pPr>
            <w:r w:rsidRPr="00B61C40">
              <w:t>5</w:t>
            </w:r>
          </w:p>
        </w:tc>
        <w:tc>
          <w:tcPr>
            <w:tcW w:w="993" w:type="dxa"/>
            <w:shd w:val="clear" w:color="auto" w:fill="D9E1F3"/>
          </w:tcPr>
          <w:p w14:paraId="73E74A11" w14:textId="67E75A8B" w:rsidR="005B0C9A" w:rsidRPr="00B61C40" w:rsidRDefault="00346F95" w:rsidP="00056799">
            <w:pPr>
              <w:pStyle w:val="TableParagraph"/>
              <w:spacing w:before="129"/>
              <w:ind w:left="148" w:right="139"/>
              <w:jc w:val="both"/>
            </w:pPr>
            <w:hyperlink w:anchor="_bookmark66" w:history="1">
              <w:r w:rsidR="005B0C9A" w:rsidRPr="00B61C40">
                <w:t>85</w:t>
              </w:r>
            </w:hyperlink>
          </w:p>
        </w:tc>
      </w:tr>
      <w:tr w:rsidR="005B0C9A" w:rsidRPr="00B61C40" w14:paraId="52735BC0" w14:textId="77777777" w:rsidTr="007F68B4">
        <w:trPr>
          <w:trHeight w:val="1000"/>
        </w:trPr>
        <w:tc>
          <w:tcPr>
            <w:tcW w:w="1529" w:type="dxa"/>
            <w:shd w:val="clear" w:color="auto" w:fill="D9E1F3"/>
          </w:tcPr>
          <w:p w14:paraId="33EFF194" w14:textId="77777777" w:rsidR="005B0C9A" w:rsidRPr="00B61C40" w:rsidRDefault="005B0C9A" w:rsidP="00056799">
            <w:pPr>
              <w:pStyle w:val="TableParagraph"/>
              <w:ind w:left="140" w:right="131"/>
              <w:jc w:val="both"/>
            </w:pPr>
            <w:r w:rsidRPr="00B61C40">
              <w:t>25</w:t>
            </w:r>
          </w:p>
        </w:tc>
        <w:tc>
          <w:tcPr>
            <w:tcW w:w="6976" w:type="dxa"/>
            <w:shd w:val="clear" w:color="auto" w:fill="D9E1F3"/>
          </w:tcPr>
          <w:p w14:paraId="17137776" w14:textId="77777777" w:rsidR="005B0C9A" w:rsidRPr="00B61C40" w:rsidRDefault="005B0C9A" w:rsidP="00056799">
            <w:pPr>
              <w:pStyle w:val="TableParagraph"/>
              <w:numPr>
                <w:ilvl w:val="0"/>
                <w:numId w:val="29"/>
              </w:numPr>
              <w:tabs>
                <w:tab w:val="left" w:pos="685"/>
                <w:tab w:val="left" w:pos="686"/>
              </w:tabs>
              <w:spacing w:before="93" w:line="264" w:lineRule="auto"/>
              <w:ind w:right="200"/>
              <w:jc w:val="both"/>
            </w:pPr>
            <w:r w:rsidRPr="00B61C40">
              <w:t>Continue to have local government collect the proposed Tasmania Fire</w:t>
            </w:r>
            <w:r w:rsidRPr="00B61C40">
              <w:rPr>
                <w:spacing w:val="-59"/>
              </w:rPr>
              <w:t xml:space="preserve"> </w:t>
            </w:r>
            <w:r w:rsidRPr="00B61C40">
              <w:t>and Emergency Services (TFES) property-based levy and be paid a</w:t>
            </w:r>
            <w:r w:rsidRPr="00B61C40">
              <w:rPr>
                <w:spacing w:val="1"/>
              </w:rPr>
              <w:t xml:space="preserve"> </w:t>
            </w:r>
            <w:r w:rsidRPr="00B61C40">
              <w:t>renegotiated</w:t>
            </w:r>
            <w:r w:rsidRPr="00B61C40">
              <w:rPr>
                <w:spacing w:val="-3"/>
              </w:rPr>
              <w:t xml:space="preserve"> </w:t>
            </w:r>
            <w:r w:rsidRPr="00B61C40">
              <w:t>collection</w:t>
            </w:r>
            <w:r w:rsidRPr="00B61C40">
              <w:rPr>
                <w:spacing w:val="-2"/>
              </w:rPr>
              <w:t xml:space="preserve"> </w:t>
            </w:r>
            <w:r w:rsidRPr="00B61C40">
              <w:t>fee for</w:t>
            </w:r>
            <w:r w:rsidRPr="00B61C40">
              <w:rPr>
                <w:spacing w:val="1"/>
              </w:rPr>
              <w:t xml:space="preserve"> </w:t>
            </w:r>
            <w:r w:rsidRPr="00B61C40">
              <w:t>doing so.</w:t>
            </w:r>
          </w:p>
        </w:tc>
        <w:tc>
          <w:tcPr>
            <w:tcW w:w="1134" w:type="dxa"/>
            <w:shd w:val="clear" w:color="auto" w:fill="D9E1F3"/>
          </w:tcPr>
          <w:p w14:paraId="60DAA249" w14:textId="77777777" w:rsidR="005B0C9A" w:rsidRPr="00B61C40" w:rsidRDefault="005B0C9A" w:rsidP="00056799">
            <w:pPr>
              <w:pStyle w:val="TableParagraph"/>
              <w:ind w:left="8"/>
              <w:jc w:val="both"/>
            </w:pPr>
            <w:r w:rsidRPr="00B61C40">
              <w:t>5</w:t>
            </w:r>
          </w:p>
        </w:tc>
        <w:tc>
          <w:tcPr>
            <w:tcW w:w="993" w:type="dxa"/>
            <w:shd w:val="clear" w:color="auto" w:fill="D9E1F3"/>
          </w:tcPr>
          <w:p w14:paraId="3E90C21B" w14:textId="3189734B" w:rsidR="005B0C9A" w:rsidRPr="00B61C40" w:rsidRDefault="00346F95" w:rsidP="00056799">
            <w:pPr>
              <w:pStyle w:val="TableParagraph"/>
              <w:ind w:left="148" w:right="139"/>
              <w:jc w:val="both"/>
            </w:pPr>
            <w:hyperlink w:anchor="_bookmark67" w:history="1">
              <w:r w:rsidR="005B0C9A" w:rsidRPr="00B61C40">
                <w:t>87</w:t>
              </w:r>
            </w:hyperlink>
          </w:p>
        </w:tc>
      </w:tr>
      <w:tr w:rsidR="005B0C9A" w:rsidRPr="00B61C40" w14:paraId="465014B8" w14:textId="77777777" w:rsidTr="007F68B4">
        <w:trPr>
          <w:trHeight w:val="1840"/>
        </w:trPr>
        <w:tc>
          <w:tcPr>
            <w:tcW w:w="1529" w:type="dxa"/>
            <w:shd w:val="clear" w:color="auto" w:fill="D9E1F3"/>
          </w:tcPr>
          <w:p w14:paraId="2FE2039B" w14:textId="77777777" w:rsidR="005B0C9A" w:rsidRPr="00B61C40" w:rsidRDefault="005B0C9A" w:rsidP="00056799">
            <w:pPr>
              <w:pStyle w:val="TableParagraph"/>
              <w:spacing w:before="0"/>
              <w:ind w:left="0"/>
              <w:jc w:val="both"/>
            </w:pPr>
          </w:p>
        </w:tc>
        <w:tc>
          <w:tcPr>
            <w:tcW w:w="6976" w:type="dxa"/>
            <w:shd w:val="clear" w:color="auto" w:fill="D9E1F3"/>
          </w:tcPr>
          <w:p w14:paraId="0CB113EC" w14:textId="77777777" w:rsidR="005B0C9A" w:rsidRPr="00B61C40" w:rsidRDefault="005B0C9A" w:rsidP="00056799">
            <w:pPr>
              <w:pStyle w:val="TableParagraph"/>
              <w:numPr>
                <w:ilvl w:val="0"/>
                <w:numId w:val="28"/>
              </w:numPr>
              <w:tabs>
                <w:tab w:val="left" w:pos="685"/>
                <w:tab w:val="left" w:pos="686"/>
              </w:tabs>
              <w:spacing w:before="14" w:line="264" w:lineRule="auto"/>
              <w:ind w:right="211"/>
              <w:jc w:val="both"/>
            </w:pPr>
            <w:r w:rsidRPr="00B61C40">
              <w:t>Have the Head of Tasmania Fire and Emergency Services (TFES) and</w:t>
            </w:r>
            <w:r w:rsidRPr="00B61C40">
              <w:rPr>
                <w:spacing w:val="-59"/>
              </w:rPr>
              <w:t xml:space="preserve"> </w:t>
            </w:r>
            <w:r w:rsidRPr="00B61C40">
              <w:t>the Minister make clear annually, in a public manner, how the levy is</w:t>
            </w:r>
            <w:r w:rsidRPr="00B61C40">
              <w:rPr>
                <w:spacing w:val="1"/>
              </w:rPr>
              <w:t xml:space="preserve"> </w:t>
            </w:r>
            <w:r w:rsidRPr="00B61C40">
              <w:t>constructed, reasons for increases, and the fact that it is collected by</w:t>
            </w:r>
            <w:r w:rsidRPr="00B61C40">
              <w:rPr>
                <w:spacing w:val="1"/>
              </w:rPr>
              <w:t xml:space="preserve"> </w:t>
            </w:r>
            <w:r w:rsidRPr="00B61C40">
              <w:t>local</w:t>
            </w:r>
            <w:r w:rsidRPr="00B61C40">
              <w:rPr>
                <w:spacing w:val="-1"/>
              </w:rPr>
              <w:t xml:space="preserve"> </w:t>
            </w:r>
            <w:r w:rsidRPr="00B61C40">
              <w:t>government</w:t>
            </w:r>
            <w:r w:rsidRPr="00B61C40">
              <w:rPr>
                <w:spacing w:val="-1"/>
              </w:rPr>
              <w:t xml:space="preserve"> </w:t>
            </w:r>
            <w:r w:rsidRPr="00B61C40">
              <w:t>for</w:t>
            </w:r>
            <w:r w:rsidRPr="00B61C40">
              <w:rPr>
                <w:spacing w:val="-1"/>
              </w:rPr>
              <w:t xml:space="preserve"> </w:t>
            </w:r>
            <w:r w:rsidRPr="00B61C40">
              <w:t>a</w:t>
            </w:r>
            <w:r w:rsidRPr="00B61C40">
              <w:rPr>
                <w:spacing w:val="-2"/>
              </w:rPr>
              <w:t xml:space="preserve"> </w:t>
            </w:r>
            <w:r w:rsidRPr="00B61C40">
              <w:t>fee.</w:t>
            </w:r>
          </w:p>
          <w:p w14:paraId="00560A92" w14:textId="77777777" w:rsidR="005B0C9A" w:rsidRPr="00B61C40" w:rsidRDefault="005B0C9A" w:rsidP="00056799">
            <w:pPr>
              <w:pStyle w:val="TableParagraph"/>
              <w:numPr>
                <w:ilvl w:val="0"/>
                <w:numId w:val="28"/>
              </w:numPr>
              <w:tabs>
                <w:tab w:val="left" w:pos="685"/>
                <w:tab w:val="left" w:pos="686"/>
              </w:tabs>
              <w:spacing w:before="68" w:line="264" w:lineRule="auto"/>
              <w:ind w:right="444"/>
              <w:jc w:val="both"/>
            </w:pPr>
            <w:r w:rsidRPr="00B61C40">
              <w:t>Pay levies collected by local government into the Consolidated Fund</w:t>
            </w:r>
            <w:r w:rsidRPr="00B61C40">
              <w:rPr>
                <w:spacing w:val="-59"/>
              </w:rPr>
              <w:t xml:space="preserve"> </w:t>
            </w:r>
            <w:r w:rsidRPr="00B61C40">
              <w:t>but</w:t>
            </w:r>
            <w:r w:rsidRPr="00B61C40">
              <w:rPr>
                <w:spacing w:val="-2"/>
              </w:rPr>
              <w:t xml:space="preserve"> </w:t>
            </w:r>
            <w:r w:rsidRPr="00B61C40">
              <w:t>ring-fence</w:t>
            </w:r>
            <w:r w:rsidRPr="00B61C40">
              <w:rPr>
                <w:spacing w:val="-2"/>
              </w:rPr>
              <w:t xml:space="preserve"> </w:t>
            </w:r>
            <w:r w:rsidRPr="00B61C40">
              <w:t>them for</w:t>
            </w:r>
            <w:r w:rsidRPr="00B61C40">
              <w:rPr>
                <w:spacing w:val="1"/>
              </w:rPr>
              <w:t xml:space="preserve"> </w:t>
            </w:r>
            <w:r w:rsidRPr="00B61C40">
              <w:t>use by</w:t>
            </w:r>
            <w:r w:rsidRPr="00B61C40">
              <w:rPr>
                <w:spacing w:val="1"/>
              </w:rPr>
              <w:t xml:space="preserve"> </w:t>
            </w:r>
            <w:r w:rsidRPr="00B61C40">
              <w:t>TFES.</w:t>
            </w:r>
          </w:p>
        </w:tc>
        <w:tc>
          <w:tcPr>
            <w:tcW w:w="1134" w:type="dxa"/>
            <w:shd w:val="clear" w:color="auto" w:fill="D9E1F3"/>
          </w:tcPr>
          <w:p w14:paraId="7FE0419A" w14:textId="77777777" w:rsidR="005B0C9A" w:rsidRPr="00B61C40" w:rsidRDefault="005B0C9A" w:rsidP="00056799">
            <w:pPr>
              <w:pStyle w:val="TableParagraph"/>
              <w:spacing w:before="0"/>
              <w:ind w:left="0"/>
              <w:jc w:val="both"/>
            </w:pPr>
          </w:p>
        </w:tc>
        <w:tc>
          <w:tcPr>
            <w:tcW w:w="993" w:type="dxa"/>
            <w:shd w:val="clear" w:color="auto" w:fill="D9E1F3"/>
          </w:tcPr>
          <w:p w14:paraId="5941A47C" w14:textId="77777777" w:rsidR="005B0C9A" w:rsidRPr="00B61C40" w:rsidRDefault="005B0C9A" w:rsidP="00056799">
            <w:pPr>
              <w:pStyle w:val="TableParagraph"/>
              <w:spacing w:before="0"/>
              <w:ind w:left="0"/>
              <w:jc w:val="both"/>
            </w:pPr>
          </w:p>
        </w:tc>
      </w:tr>
      <w:tr w:rsidR="005B0C9A" w:rsidRPr="00B61C40" w14:paraId="64773AB9" w14:textId="77777777" w:rsidTr="007F68B4">
        <w:trPr>
          <w:trHeight w:val="3120"/>
        </w:trPr>
        <w:tc>
          <w:tcPr>
            <w:tcW w:w="1529" w:type="dxa"/>
            <w:shd w:val="clear" w:color="auto" w:fill="D9E1F3"/>
          </w:tcPr>
          <w:p w14:paraId="0937B15C" w14:textId="77777777" w:rsidR="005B0C9A" w:rsidRPr="00B61C40" w:rsidRDefault="005B0C9A" w:rsidP="00056799">
            <w:pPr>
              <w:pStyle w:val="TableParagraph"/>
              <w:ind w:left="140" w:right="131"/>
              <w:jc w:val="both"/>
            </w:pPr>
            <w:r w:rsidRPr="00B61C40">
              <w:t>26</w:t>
            </w:r>
          </w:p>
        </w:tc>
        <w:tc>
          <w:tcPr>
            <w:tcW w:w="6976" w:type="dxa"/>
            <w:shd w:val="clear" w:color="auto" w:fill="D9E1F3"/>
          </w:tcPr>
          <w:p w14:paraId="389BDA15" w14:textId="77777777" w:rsidR="005B0C9A" w:rsidRPr="00B61C40" w:rsidRDefault="005B0C9A" w:rsidP="00056799">
            <w:pPr>
              <w:pStyle w:val="TableParagraph"/>
              <w:numPr>
                <w:ilvl w:val="0"/>
                <w:numId w:val="27"/>
              </w:numPr>
              <w:tabs>
                <w:tab w:val="left" w:pos="685"/>
                <w:tab w:val="left" w:pos="686"/>
              </w:tabs>
              <w:spacing w:before="93" w:line="264" w:lineRule="auto"/>
              <w:ind w:right="137"/>
              <w:jc w:val="both"/>
            </w:pPr>
            <w:r w:rsidRPr="00B61C40">
              <w:t>Recognise and enshrine in legislation the contribution of volunteers and</w:t>
            </w:r>
            <w:r w:rsidRPr="00B61C40">
              <w:rPr>
                <w:spacing w:val="-59"/>
              </w:rPr>
              <w:t xml:space="preserve"> </w:t>
            </w:r>
            <w:r w:rsidRPr="00B61C40">
              <w:t>volunteering (including SES units) and include a requirement for a</w:t>
            </w:r>
            <w:r w:rsidRPr="00B61C40">
              <w:rPr>
                <w:spacing w:val="1"/>
              </w:rPr>
              <w:t xml:space="preserve"> </w:t>
            </w:r>
            <w:r w:rsidRPr="00B61C40">
              <w:t>Volunteer Charter to be developed by Tasmania Fire and Emergency</w:t>
            </w:r>
            <w:r w:rsidRPr="00B61C40">
              <w:rPr>
                <w:spacing w:val="1"/>
              </w:rPr>
              <w:t xml:space="preserve"> </w:t>
            </w:r>
            <w:r w:rsidRPr="00B61C40">
              <w:t>Services (TFES) and endorsed by the Volunteer Associations and the</w:t>
            </w:r>
            <w:r w:rsidRPr="00B61C40">
              <w:rPr>
                <w:spacing w:val="1"/>
              </w:rPr>
              <w:t xml:space="preserve"> </w:t>
            </w:r>
            <w:r w:rsidRPr="00B61C40">
              <w:t>Minister.</w:t>
            </w:r>
          </w:p>
          <w:p w14:paraId="4E0A324B" w14:textId="77777777" w:rsidR="005B0C9A" w:rsidRPr="00B61C40" w:rsidRDefault="005B0C9A" w:rsidP="00056799">
            <w:pPr>
              <w:pStyle w:val="TableParagraph"/>
              <w:numPr>
                <w:ilvl w:val="0"/>
                <w:numId w:val="27"/>
              </w:numPr>
              <w:tabs>
                <w:tab w:val="left" w:pos="685"/>
                <w:tab w:val="left" w:pos="686"/>
              </w:tabs>
              <w:spacing w:before="72" w:line="264" w:lineRule="auto"/>
              <w:ind w:right="975"/>
              <w:jc w:val="both"/>
            </w:pPr>
            <w:r w:rsidRPr="00B61C40">
              <w:t>Legislate</w:t>
            </w:r>
            <w:r w:rsidRPr="00B61C40">
              <w:rPr>
                <w:spacing w:val="-1"/>
              </w:rPr>
              <w:t xml:space="preserve"> </w:t>
            </w:r>
            <w:r w:rsidRPr="00B61C40">
              <w:t>to</w:t>
            </w:r>
            <w:r w:rsidRPr="00B61C40">
              <w:rPr>
                <w:spacing w:val="-4"/>
              </w:rPr>
              <w:t xml:space="preserve"> </w:t>
            </w:r>
            <w:r w:rsidRPr="00B61C40">
              <w:t>provide</w:t>
            </w:r>
            <w:r w:rsidRPr="00B61C40">
              <w:rPr>
                <w:spacing w:val="-3"/>
              </w:rPr>
              <w:t xml:space="preserve"> </w:t>
            </w:r>
            <w:r w:rsidRPr="00B61C40">
              <w:t>good</w:t>
            </w:r>
            <w:r w:rsidRPr="00B61C40">
              <w:rPr>
                <w:spacing w:val="-2"/>
              </w:rPr>
              <w:t xml:space="preserve"> </w:t>
            </w:r>
            <w:r w:rsidRPr="00B61C40">
              <w:t>faith</w:t>
            </w:r>
            <w:r w:rsidRPr="00B61C40">
              <w:rPr>
                <w:spacing w:val="-4"/>
              </w:rPr>
              <w:t xml:space="preserve"> </w:t>
            </w:r>
            <w:r w:rsidRPr="00B61C40">
              <w:t>protection</w:t>
            </w:r>
            <w:r w:rsidRPr="00B61C40">
              <w:rPr>
                <w:spacing w:val="-1"/>
              </w:rPr>
              <w:t xml:space="preserve"> </w:t>
            </w:r>
            <w:r w:rsidRPr="00B61C40">
              <w:t>from</w:t>
            </w:r>
            <w:r w:rsidRPr="00B61C40">
              <w:rPr>
                <w:spacing w:val="-3"/>
              </w:rPr>
              <w:t xml:space="preserve"> </w:t>
            </w:r>
            <w:r w:rsidRPr="00B61C40">
              <w:t>liability</w:t>
            </w:r>
            <w:r w:rsidRPr="00B61C40">
              <w:rPr>
                <w:spacing w:val="-1"/>
              </w:rPr>
              <w:t xml:space="preserve"> </w:t>
            </w:r>
            <w:r w:rsidRPr="00B61C40">
              <w:t>for</w:t>
            </w:r>
            <w:r w:rsidRPr="00B61C40">
              <w:rPr>
                <w:spacing w:val="-2"/>
              </w:rPr>
              <w:t xml:space="preserve"> </w:t>
            </w:r>
            <w:r w:rsidRPr="00B61C40">
              <w:t>TFES</w:t>
            </w:r>
            <w:r w:rsidRPr="00B61C40">
              <w:rPr>
                <w:spacing w:val="-58"/>
              </w:rPr>
              <w:t xml:space="preserve"> </w:t>
            </w:r>
            <w:r w:rsidRPr="00B61C40">
              <w:t>volunteers/units,</w:t>
            </w:r>
            <w:r w:rsidRPr="00B61C40">
              <w:rPr>
                <w:spacing w:val="-2"/>
              </w:rPr>
              <w:t xml:space="preserve"> </w:t>
            </w:r>
            <w:r w:rsidRPr="00B61C40">
              <w:t>authorised</w:t>
            </w:r>
            <w:r w:rsidRPr="00B61C40">
              <w:rPr>
                <w:spacing w:val="-2"/>
              </w:rPr>
              <w:t xml:space="preserve"> </w:t>
            </w:r>
            <w:r w:rsidRPr="00B61C40">
              <w:t>volunteers</w:t>
            </w:r>
            <w:r w:rsidRPr="00B61C40">
              <w:rPr>
                <w:spacing w:val="-1"/>
              </w:rPr>
              <w:t xml:space="preserve"> </w:t>
            </w:r>
            <w:r w:rsidRPr="00B61C40">
              <w:t>and</w:t>
            </w:r>
            <w:r w:rsidRPr="00B61C40">
              <w:rPr>
                <w:spacing w:val="-4"/>
              </w:rPr>
              <w:t xml:space="preserve"> </w:t>
            </w:r>
            <w:r w:rsidRPr="00B61C40">
              <w:t>permanent</w:t>
            </w:r>
            <w:r w:rsidRPr="00B61C40">
              <w:rPr>
                <w:spacing w:val="1"/>
              </w:rPr>
              <w:t xml:space="preserve"> </w:t>
            </w:r>
            <w:r w:rsidRPr="00B61C40">
              <w:t>staff.</w:t>
            </w:r>
          </w:p>
          <w:p w14:paraId="1FA5EB93" w14:textId="77777777" w:rsidR="005B0C9A" w:rsidRDefault="005B0C9A" w:rsidP="008021AA">
            <w:pPr>
              <w:pStyle w:val="TableParagraph"/>
              <w:numPr>
                <w:ilvl w:val="0"/>
                <w:numId w:val="27"/>
              </w:numPr>
              <w:tabs>
                <w:tab w:val="left" w:pos="686"/>
              </w:tabs>
              <w:spacing w:before="66" w:line="264" w:lineRule="auto"/>
              <w:ind w:right="986"/>
              <w:jc w:val="both"/>
            </w:pPr>
            <w:r w:rsidRPr="00B61C40">
              <w:t>Ensure there are no legislative barriers that would preclude the</w:t>
            </w:r>
            <w:r w:rsidRPr="00B61C40">
              <w:rPr>
                <w:spacing w:val="-60"/>
              </w:rPr>
              <w:t xml:space="preserve"> </w:t>
            </w:r>
            <w:r w:rsidRPr="00B61C40">
              <w:t>expansion of volunteer/unit roles to include both response and</w:t>
            </w:r>
            <w:r w:rsidRPr="00B61C40">
              <w:rPr>
                <w:spacing w:val="1"/>
              </w:rPr>
              <w:t xml:space="preserve"> </w:t>
            </w:r>
            <w:r w:rsidRPr="00B61C40">
              <w:t>non-response</w:t>
            </w:r>
            <w:r w:rsidRPr="00B61C40">
              <w:rPr>
                <w:spacing w:val="-3"/>
              </w:rPr>
              <w:t xml:space="preserve"> </w:t>
            </w:r>
            <w:r w:rsidRPr="00B61C40">
              <w:t>roles.</w:t>
            </w:r>
          </w:p>
          <w:p w14:paraId="783838D7" w14:textId="7BB9BD73" w:rsidR="00B77AD0" w:rsidRPr="00B61C40" w:rsidRDefault="00B77AD0" w:rsidP="00B77AD0">
            <w:pPr>
              <w:pStyle w:val="TableParagraph"/>
              <w:tabs>
                <w:tab w:val="left" w:pos="686"/>
              </w:tabs>
              <w:spacing w:before="66" w:line="264" w:lineRule="auto"/>
              <w:ind w:left="686" w:right="986"/>
              <w:jc w:val="both"/>
            </w:pPr>
          </w:p>
        </w:tc>
        <w:tc>
          <w:tcPr>
            <w:tcW w:w="1134" w:type="dxa"/>
            <w:shd w:val="clear" w:color="auto" w:fill="D9E1F3"/>
          </w:tcPr>
          <w:p w14:paraId="1FE988E4" w14:textId="77777777" w:rsidR="005B0C9A" w:rsidRPr="00B61C40" w:rsidRDefault="005B0C9A" w:rsidP="00056799">
            <w:pPr>
              <w:pStyle w:val="TableParagraph"/>
              <w:ind w:left="8"/>
              <w:jc w:val="both"/>
            </w:pPr>
            <w:r w:rsidRPr="00B61C40">
              <w:t>6</w:t>
            </w:r>
          </w:p>
        </w:tc>
        <w:tc>
          <w:tcPr>
            <w:tcW w:w="993" w:type="dxa"/>
            <w:shd w:val="clear" w:color="auto" w:fill="D9E1F3"/>
          </w:tcPr>
          <w:p w14:paraId="5D35652C" w14:textId="0118D433" w:rsidR="005B0C9A" w:rsidRPr="00B61C40" w:rsidRDefault="00346F95" w:rsidP="00056799">
            <w:pPr>
              <w:pStyle w:val="TableParagraph"/>
              <w:ind w:left="148" w:right="139"/>
              <w:jc w:val="both"/>
            </w:pPr>
            <w:hyperlink w:anchor="_bookmark75" w:history="1">
              <w:r w:rsidR="005B0C9A" w:rsidRPr="00B61C40">
                <w:t>94</w:t>
              </w:r>
            </w:hyperlink>
          </w:p>
        </w:tc>
      </w:tr>
      <w:tr w:rsidR="00B77AD0" w:rsidRPr="00B61C40" w14:paraId="7DAC5EEC" w14:textId="77777777" w:rsidTr="00FB408E">
        <w:trPr>
          <w:trHeight w:val="292"/>
        </w:trPr>
        <w:tc>
          <w:tcPr>
            <w:tcW w:w="8505" w:type="dxa"/>
            <w:gridSpan w:val="2"/>
            <w:vMerge w:val="restart"/>
            <w:shd w:val="clear" w:color="auto" w:fill="D9D9D9"/>
          </w:tcPr>
          <w:p w14:paraId="1822484B" w14:textId="77777777" w:rsidR="00B77AD0" w:rsidRPr="00B61C40" w:rsidRDefault="00B77AD0" w:rsidP="00FB408E">
            <w:pPr>
              <w:pStyle w:val="TableParagraph"/>
              <w:spacing w:before="172"/>
              <w:ind w:left="107"/>
              <w:jc w:val="both"/>
            </w:pPr>
            <w:bookmarkStart w:id="7" w:name="_Hlk115273624"/>
            <w:r w:rsidRPr="00B61C40">
              <w:rPr>
                <w:color w:val="2D74B5"/>
              </w:rPr>
              <w:lastRenderedPageBreak/>
              <w:t>Recommendation</w:t>
            </w:r>
          </w:p>
        </w:tc>
        <w:tc>
          <w:tcPr>
            <w:tcW w:w="2127" w:type="dxa"/>
            <w:gridSpan w:val="2"/>
            <w:shd w:val="clear" w:color="auto" w:fill="D9D9D9"/>
          </w:tcPr>
          <w:p w14:paraId="763C2D8D" w14:textId="77777777" w:rsidR="00B77AD0" w:rsidRPr="00B61C40" w:rsidRDefault="00B77AD0"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B77AD0" w:rsidRPr="00B61C40" w14:paraId="4937C628" w14:textId="77777777" w:rsidTr="00FB408E">
        <w:trPr>
          <w:trHeight w:val="292"/>
        </w:trPr>
        <w:tc>
          <w:tcPr>
            <w:tcW w:w="8505" w:type="dxa"/>
            <w:gridSpan w:val="2"/>
            <w:vMerge/>
            <w:tcBorders>
              <w:top w:val="nil"/>
            </w:tcBorders>
            <w:shd w:val="clear" w:color="auto" w:fill="D9D9D9"/>
          </w:tcPr>
          <w:p w14:paraId="58C288BB" w14:textId="77777777" w:rsidR="00B77AD0" w:rsidRPr="00B61C40" w:rsidRDefault="00B77AD0" w:rsidP="00FB408E">
            <w:pPr>
              <w:jc w:val="both"/>
              <w:rPr>
                <w:rFonts w:ascii="Arial" w:hAnsi="Arial" w:cs="Arial"/>
                <w:sz w:val="22"/>
                <w:szCs w:val="22"/>
              </w:rPr>
            </w:pPr>
          </w:p>
        </w:tc>
        <w:tc>
          <w:tcPr>
            <w:tcW w:w="1134" w:type="dxa"/>
            <w:shd w:val="clear" w:color="auto" w:fill="D9D9D9"/>
          </w:tcPr>
          <w:p w14:paraId="3A0457A8" w14:textId="77777777" w:rsidR="00B77AD0" w:rsidRPr="00B61C40" w:rsidRDefault="00B77AD0"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53A3AD2F" w14:textId="77777777" w:rsidR="00B77AD0" w:rsidRPr="00B61C40" w:rsidRDefault="00B77AD0" w:rsidP="00FB408E">
            <w:pPr>
              <w:pStyle w:val="TableParagraph"/>
              <w:spacing w:before="21" w:line="251" w:lineRule="exact"/>
              <w:ind w:left="148" w:right="139"/>
              <w:jc w:val="both"/>
            </w:pPr>
            <w:r w:rsidRPr="00B61C40">
              <w:rPr>
                <w:color w:val="2D74B5"/>
              </w:rPr>
              <w:t>Page</w:t>
            </w:r>
          </w:p>
        </w:tc>
      </w:tr>
      <w:bookmarkEnd w:id="7"/>
      <w:tr w:rsidR="005B0C9A" w:rsidRPr="00B61C40" w14:paraId="187DA030" w14:textId="77777777" w:rsidTr="007F68B4">
        <w:trPr>
          <w:trHeight w:val="3400"/>
        </w:trPr>
        <w:tc>
          <w:tcPr>
            <w:tcW w:w="1529" w:type="dxa"/>
            <w:shd w:val="clear" w:color="auto" w:fill="D9E1F3"/>
          </w:tcPr>
          <w:p w14:paraId="4D14C112" w14:textId="77777777" w:rsidR="005B0C9A" w:rsidRPr="00B61C40" w:rsidRDefault="005B0C9A" w:rsidP="00056799">
            <w:pPr>
              <w:pStyle w:val="TableParagraph"/>
              <w:ind w:left="140" w:right="131"/>
              <w:jc w:val="both"/>
            </w:pPr>
            <w:r w:rsidRPr="00B61C40">
              <w:t>27</w:t>
            </w:r>
          </w:p>
        </w:tc>
        <w:tc>
          <w:tcPr>
            <w:tcW w:w="6976" w:type="dxa"/>
            <w:shd w:val="clear" w:color="auto" w:fill="D9E1F3"/>
          </w:tcPr>
          <w:p w14:paraId="303F9EAA" w14:textId="77777777" w:rsidR="005B0C9A" w:rsidRPr="00B61C40" w:rsidRDefault="005B0C9A" w:rsidP="00056799">
            <w:pPr>
              <w:pStyle w:val="TableParagraph"/>
              <w:numPr>
                <w:ilvl w:val="0"/>
                <w:numId w:val="26"/>
              </w:numPr>
              <w:tabs>
                <w:tab w:val="left" w:pos="685"/>
                <w:tab w:val="left" w:pos="686"/>
              </w:tabs>
              <w:spacing w:before="93" w:line="264" w:lineRule="auto"/>
              <w:ind w:right="188"/>
              <w:jc w:val="both"/>
            </w:pPr>
            <w:r w:rsidRPr="00B61C40">
              <w:t>Do not include a legislated provision for emergency medical response</w:t>
            </w:r>
            <w:r w:rsidRPr="00B61C40">
              <w:rPr>
                <w:spacing w:val="1"/>
              </w:rPr>
              <w:t xml:space="preserve"> </w:t>
            </w:r>
            <w:r w:rsidRPr="00B61C40">
              <w:t>in the mandate of Tasmania Fire and Emergency Services (TFES); this</w:t>
            </w:r>
            <w:r w:rsidRPr="00B61C40">
              <w:rPr>
                <w:spacing w:val="-59"/>
              </w:rPr>
              <w:t xml:space="preserve"> </w:t>
            </w:r>
            <w:r w:rsidRPr="00B61C40">
              <w:t>should</w:t>
            </w:r>
            <w:r w:rsidRPr="00B61C40">
              <w:rPr>
                <w:spacing w:val="-1"/>
              </w:rPr>
              <w:t xml:space="preserve"> </w:t>
            </w:r>
            <w:r w:rsidRPr="00B61C40">
              <w:t>be entirely</w:t>
            </w:r>
            <w:r w:rsidRPr="00B61C40">
              <w:rPr>
                <w:spacing w:val="1"/>
              </w:rPr>
              <w:t xml:space="preserve"> </w:t>
            </w:r>
            <w:r w:rsidRPr="00B61C40">
              <w:t>a</w:t>
            </w:r>
            <w:r w:rsidRPr="00B61C40">
              <w:rPr>
                <w:spacing w:val="-2"/>
              </w:rPr>
              <w:t xml:space="preserve"> </w:t>
            </w:r>
            <w:r w:rsidRPr="00B61C40">
              <w:t>matter</w:t>
            </w:r>
            <w:r w:rsidRPr="00B61C40">
              <w:rPr>
                <w:spacing w:val="1"/>
              </w:rPr>
              <w:t xml:space="preserve"> </w:t>
            </w:r>
            <w:r w:rsidRPr="00B61C40">
              <w:t>of</w:t>
            </w:r>
            <w:r w:rsidRPr="00B61C40">
              <w:rPr>
                <w:spacing w:val="1"/>
              </w:rPr>
              <w:t xml:space="preserve"> </w:t>
            </w:r>
            <w:r w:rsidRPr="00B61C40">
              <w:t>policy.</w:t>
            </w:r>
          </w:p>
          <w:p w14:paraId="13B6B268" w14:textId="77777777" w:rsidR="005B0C9A" w:rsidRPr="00B61C40" w:rsidRDefault="005B0C9A" w:rsidP="00056799">
            <w:pPr>
              <w:pStyle w:val="TableParagraph"/>
              <w:numPr>
                <w:ilvl w:val="0"/>
                <w:numId w:val="26"/>
              </w:numPr>
              <w:tabs>
                <w:tab w:val="left" w:pos="685"/>
                <w:tab w:val="left" w:pos="686"/>
              </w:tabs>
              <w:spacing w:before="68" w:line="264" w:lineRule="auto"/>
              <w:ind w:right="328"/>
              <w:jc w:val="both"/>
            </w:pPr>
            <w:r w:rsidRPr="00B61C40">
              <w:t>Ensure legislation allows for additional functions that fire and</w:t>
            </w:r>
            <w:r w:rsidRPr="00B61C40">
              <w:rPr>
                <w:spacing w:val="1"/>
              </w:rPr>
              <w:t xml:space="preserve"> </w:t>
            </w:r>
            <w:r w:rsidRPr="00B61C40">
              <w:t>emergency services personnel may perform, subject to appropriate</w:t>
            </w:r>
            <w:r w:rsidRPr="00B61C40">
              <w:rPr>
                <w:spacing w:val="1"/>
              </w:rPr>
              <w:t xml:space="preserve"> </w:t>
            </w:r>
            <w:r w:rsidRPr="00B61C40">
              <w:t>training</w:t>
            </w:r>
            <w:r w:rsidRPr="00B61C40">
              <w:rPr>
                <w:spacing w:val="-3"/>
              </w:rPr>
              <w:t xml:space="preserve"> </w:t>
            </w:r>
            <w:r w:rsidRPr="00B61C40">
              <w:t>and</w:t>
            </w:r>
            <w:r w:rsidRPr="00B61C40">
              <w:rPr>
                <w:spacing w:val="-5"/>
              </w:rPr>
              <w:t xml:space="preserve"> </w:t>
            </w:r>
            <w:r w:rsidRPr="00B61C40">
              <w:t>credentialing, with</w:t>
            </w:r>
            <w:r w:rsidRPr="00B61C40">
              <w:rPr>
                <w:spacing w:val="-5"/>
              </w:rPr>
              <w:t xml:space="preserve"> </w:t>
            </w:r>
            <w:r w:rsidRPr="00B61C40">
              <w:t>an</w:t>
            </w:r>
            <w:r w:rsidRPr="00B61C40">
              <w:rPr>
                <w:spacing w:val="-2"/>
              </w:rPr>
              <w:t xml:space="preserve"> </w:t>
            </w:r>
            <w:r w:rsidRPr="00B61C40">
              <w:t>overarching</w:t>
            </w:r>
            <w:r w:rsidRPr="00B61C40">
              <w:rPr>
                <w:spacing w:val="-5"/>
              </w:rPr>
              <w:t xml:space="preserve"> </w:t>
            </w:r>
            <w:r w:rsidRPr="00B61C40">
              <w:t>responsibility</w:t>
            </w:r>
            <w:r w:rsidRPr="00B61C40">
              <w:rPr>
                <w:spacing w:val="-1"/>
              </w:rPr>
              <w:t xml:space="preserve"> </w:t>
            </w:r>
            <w:r w:rsidRPr="00B61C40">
              <w:t>for</w:t>
            </w:r>
            <w:r w:rsidRPr="00B61C40">
              <w:rPr>
                <w:spacing w:val="-4"/>
              </w:rPr>
              <w:t xml:space="preserve"> </w:t>
            </w:r>
            <w:r w:rsidRPr="00B61C40">
              <w:t>public</w:t>
            </w:r>
            <w:r w:rsidRPr="00B61C40">
              <w:rPr>
                <w:spacing w:val="-58"/>
              </w:rPr>
              <w:t xml:space="preserve"> </w:t>
            </w:r>
            <w:r w:rsidRPr="00B61C40">
              <w:t>safety,</w:t>
            </w:r>
            <w:r w:rsidRPr="00B61C40">
              <w:rPr>
                <w:spacing w:val="1"/>
              </w:rPr>
              <w:t xml:space="preserve"> </w:t>
            </w:r>
            <w:r w:rsidRPr="00B61C40">
              <w:t>property</w:t>
            </w:r>
            <w:r w:rsidRPr="00B61C40">
              <w:rPr>
                <w:spacing w:val="-2"/>
              </w:rPr>
              <w:t xml:space="preserve"> </w:t>
            </w:r>
            <w:r w:rsidRPr="00B61C40">
              <w:t>and</w:t>
            </w:r>
            <w:r w:rsidRPr="00B61C40">
              <w:rPr>
                <w:spacing w:val="-2"/>
              </w:rPr>
              <w:t xml:space="preserve"> </w:t>
            </w:r>
            <w:r w:rsidRPr="00B61C40">
              <w:t>the</w:t>
            </w:r>
            <w:r w:rsidRPr="00B61C40">
              <w:rPr>
                <w:spacing w:val="-2"/>
              </w:rPr>
              <w:t xml:space="preserve"> </w:t>
            </w:r>
            <w:r w:rsidRPr="00B61C40">
              <w:t>environment.</w:t>
            </w:r>
          </w:p>
          <w:p w14:paraId="62E700AB" w14:textId="77777777" w:rsidR="005B0C9A" w:rsidRPr="00B61C40" w:rsidRDefault="005B0C9A" w:rsidP="00056799">
            <w:pPr>
              <w:pStyle w:val="TableParagraph"/>
              <w:numPr>
                <w:ilvl w:val="0"/>
                <w:numId w:val="26"/>
              </w:numPr>
              <w:tabs>
                <w:tab w:val="left" w:pos="685"/>
                <w:tab w:val="left" w:pos="686"/>
              </w:tabs>
              <w:spacing w:before="69" w:line="264" w:lineRule="auto"/>
              <w:ind w:right="383"/>
              <w:jc w:val="both"/>
            </w:pPr>
            <w:r w:rsidRPr="00B61C40">
              <w:t>Ensure that, while Ambulance Tasmania remains the primary agency</w:t>
            </w:r>
            <w:r w:rsidRPr="00B61C40">
              <w:rPr>
                <w:spacing w:val="-59"/>
              </w:rPr>
              <w:t xml:space="preserve"> </w:t>
            </w:r>
            <w:r w:rsidRPr="00B61C40">
              <w:t>for emergency medical response, legislation does not prohibit it from</w:t>
            </w:r>
            <w:r w:rsidRPr="00B61C40">
              <w:rPr>
                <w:spacing w:val="1"/>
              </w:rPr>
              <w:t xml:space="preserve"> </w:t>
            </w:r>
            <w:r w:rsidRPr="00B61C40">
              <w:t>entering into arrangements with TFES for training and credentialing</w:t>
            </w:r>
            <w:r w:rsidRPr="00B61C40">
              <w:rPr>
                <w:spacing w:val="1"/>
              </w:rPr>
              <w:t xml:space="preserve"> </w:t>
            </w:r>
            <w:r w:rsidRPr="00B61C40">
              <w:t>relevant emergency</w:t>
            </w:r>
            <w:r w:rsidRPr="00B61C40">
              <w:rPr>
                <w:spacing w:val="-2"/>
              </w:rPr>
              <w:t xml:space="preserve"> </w:t>
            </w:r>
            <w:r w:rsidRPr="00B61C40">
              <w:t>response activities.</w:t>
            </w:r>
          </w:p>
        </w:tc>
        <w:tc>
          <w:tcPr>
            <w:tcW w:w="1134" w:type="dxa"/>
            <w:shd w:val="clear" w:color="auto" w:fill="D9E1F3"/>
          </w:tcPr>
          <w:p w14:paraId="53118580" w14:textId="77777777" w:rsidR="005B0C9A" w:rsidRPr="00B61C40" w:rsidRDefault="005B0C9A" w:rsidP="00056799">
            <w:pPr>
              <w:pStyle w:val="TableParagraph"/>
              <w:ind w:left="8"/>
              <w:jc w:val="both"/>
            </w:pPr>
            <w:r w:rsidRPr="00B61C40">
              <w:t>7</w:t>
            </w:r>
          </w:p>
        </w:tc>
        <w:tc>
          <w:tcPr>
            <w:tcW w:w="993" w:type="dxa"/>
            <w:shd w:val="clear" w:color="auto" w:fill="D9E1F3"/>
          </w:tcPr>
          <w:p w14:paraId="623B501F" w14:textId="309154BC" w:rsidR="005B0C9A" w:rsidRPr="00B61C40" w:rsidRDefault="00346F95" w:rsidP="00056799">
            <w:pPr>
              <w:pStyle w:val="TableParagraph"/>
              <w:ind w:left="148" w:right="139"/>
              <w:jc w:val="both"/>
            </w:pPr>
            <w:hyperlink w:anchor="_bookmark80" w:history="1">
              <w:r w:rsidR="005B0C9A" w:rsidRPr="00B61C40">
                <w:t>97</w:t>
              </w:r>
            </w:hyperlink>
          </w:p>
        </w:tc>
      </w:tr>
      <w:tr w:rsidR="005B0C9A" w:rsidRPr="00B61C40" w14:paraId="5B953F37" w14:textId="77777777" w:rsidTr="007F68B4">
        <w:trPr>
          <w:trHeight w:val="4600"/>
        </w:trPr>
        <w:tc>
          <w:tcPr>
            <w:tcW w:w="1529" w:type="dxa"/>
            <w:shd w:val="clear" w:color="auto" w:fill="D9E1F3"/>
          </w:tcPr>
          <w:p w14:paraId="26770CA2" w14:textId="0E047DAE" w:rsidR="005B0C9A" w:rsidRPr="00B61C40" w:rsidRDefault="005B0C9A" w:rsidP="00056799">
            <w:pPr>
              <w:pStyle w:val="TableParagraph"/>
              <w:ind w:left="140" w:right="131"/>
              <w:jc w:val="both"/>
            </w:pPr>
            <w:r w:rsidRPr="00B61C40">
              <w:t>28</w:t>
            </w:r>
          </w:p>
        </w:tc>
        <w:tc>
          <w:tcPr>
            <w:tcW w:w="6976" w:type="dxa"/>
            <w:shd w:val="clear" w:color="auto" w:fill="D9E1F3"/>
          </w:tcPr>
          <w:p w14:paraId="402C695C" w14:textId="77777777" w:rsidR="005B0C9A" w:rsidRPr="00B61C40" w:rsidRDefault="005B0C9A" w:rsidP="00056799">
            <w:pPr>
              <w:pStyle w:val="TableParagraph"/>
              <w:numPr>
                <w:ilvl w:val="0"/>
                <w:numId w:val="25"/>
              </w:numPr>
              <w:tabs>
                <w:tab w:val="left" w:pos="685"/>
                <w:tab w:val="left" w:pos="686"/>
              </w:tabs>
              <w:spacing w:before="93" w:line="264" w:lineRule="auto"/>
              <w:ind w:right="289"/>
              <w:jc w:val="both"/>
            </w:pPr>
            <w:r w:rsidRPr="00B61C40">
              <w:t>Develop legislation that empowers Tasmania Fire and Emergency</w:t>
            </w:r>
            <w:r w:rsidRPr="00B61C40">
              <w:rPr>
                <w:spacing w:val="1"/>
              </w:rPr>
              <w:t xml:space="preserve"> </w:t>
            </w:r>
            <w:r w:rsidRPr="00B61C40">
              <w:t>Services (TFES) with functions, powers and indemnities that reflect its</w:t>
            </w:r>
            <w:r w:rsidRPr="00B61C40">
              <w:rPr>
                <w:spacing w:val="-59"/>
              </w:rPr>
              <w:t xml:space="preserve"> </w:t>
            </w:r>
            <w:r w:rsidRPr="00B61C40">
              <w:t>broader</w:t>
            </w:r>
            <w:r w:rsidRPr="00B61C40">
              <w:rPr>
                <w:spacing w:val="-2"/>
              </w:rPr>
              <w:t xml:space="preserve"> </w:t>
            </w:r>
            <w:r w:rsidRPr="00B61C40">
              <w:t>role</w:t>
            </w:r>
            <w:r w:rsidRPr="00B61C40">
              <w:rPr>
                <w:spacing w:val="-1"/>
              </w:rPr>
              <w:t xml:space="preserve"> </w:t>
            </w:r>
            <w:r w:rsidRPr="00B61C40">
              <w:t>in</w:t>
            </w:r>
            <w:r w:rsidRPr="00B61C40">
              <w:rPr>
                <w:spacing w:val="-1"/>
              </w:rPr>
              <w:t xml:space="preserve"> </w:t>
            </w:r>
            <w:r w:rsidRPr="00B61C40">
              <w:t>emergency management</w:t>
            </w:r>
            <w:r w:rsidRPr="00B61C40">
              <w:rPr>
                <w:spacing w:val="1"/>
              </w:rPr>
              <w:t xml:space="preserve"> </w:t>
            </w:r>
            <w:r w:rsidRPr="00B61C40">
              <w:t>and</w:t>
            </w:r>
            <w:r w:rsidRPr="00B61C40">
              <w:rPr>
                <w:spacing w:val="-3"/>
              </w:rPr>
              <w:t xml:space="preserve"> </w:t>
            </w:r>
            <w:r w:rsidRPr="00B61C40">
              <w:t>response,</w:t>
            </w:r>
            <w:r w:rsidRPr="00B61C40">
              <w:rPr>
                <w:spacing w:val="1"/>
              </w:rPr>
              <w:t xml:space="preserve"> </w:t>
            </w:r>
            <w:r w:rsidRPr="00B61C40">
              <w:t>and</w:t>
            </w:r>
            <w:r w:rsidRPr="00B61C40">
              <w:rPr>
                <w:spacing w:val="-3"/>
              </w:rPr>
              <w:t xml:space="preserve"> </w:t>
            </w:r>
            <w:r w:rsidRPr="00B61C40">
              <w:t>which:</w:t>
            </w:r>
          </w:p>
          <w:p w14:paraId="02D2C558" w14:textId="77777777" w:rsidR="005B0C9A" w:rsidRPr="00B61C40" w:rsidRDefault="005B0C9A" w:rsidP="00056799">
            <w:pPr>
              <w:pStyle w:val="TableParagraph"/>
              <w:numPr>
                <w:ilvl w:val="1"/>
                <w:numId w:val="25"/>
              </w:numPr>
              <w:tabs>
                <w:tab w:val="left" w:pos="1270"/>
              </w:tabs>
              <w:spacing w:before="83"/>
              <w:ind w:hanging="426"/>
              <w:jc w:val="both"/>
            </w:pPr>
            <w:r w:rsidRPr="00B61C40">
              <w:t>maintains</w:t>
            </w:r>
            <w:r w:rsidRPr="00B61C40">
              <w:rPr>
                <w:spacing w:val="-2"/>
              </w:rPr>
              <w:t xml:space="preserve"> </w:t>
            </w:r>
            <w:r w:rsidRPr="00B61C40">
              <w:t>current levels</w:t>
            </w:r>
            <w:r w:rsidRPr="00B61C40">
              <w:rPr>
                <w:spacing w:val="-6"/>
              </w:rPr>
              <w:t xml:space="preserve"> </w:t>
            </w:r>
            <w:r w:rsidRPr="00B61C40">
              <w:t>of</w:t>
            </w:r>
            <w:r w:rsidRPr="00B61C40">
              <w:rPr>
                <w:spacing w:val="-1"/>
              </w:rPr>
              <w:t xml:space="preserve"> </w:t>
            </w:r>
            <w:r w:rsidRPr="00B61C40">
              <w:t>indemnity</w:t>
            </w:r>
          </w:p>
          <w:p w14:paraId="6AE9690E" w14:textId="77777777" w:rsidR="005B0C9A" w:rsidRPr="00B61C40" w:rsidRDefault="005B0C9A" w:rsidP="00056799">
            <w:pPr>
              <w:pStyle w:val="TableParagraph"/>
              <w:numPr>
                <w:ilvl w:val="1"/>
                <w:numId w:val="25"/>
              </w:numPr>
              <w:tabs>
                <w:tab w:val="left" w:pos="1270"/>
              </w:tabs>
              <w:spacing w:before="88" w:line="259" w:lineRule="auto"/>
              <w:ind w:right="132"/>
              <w:jc w:val="both"/>
            </w:pPr>
            <w:r w:rsidRPr="00B61C40">
              <w:t>broadens TFES’ mandate to include the power to confer specified</w:t>
            </w:r>
            <w:r w:rsidRPr="00B61C40">
              <w:rPr>
                <w:spacing w:val="-59"/>
              </w:rPr>
              <w:t xml:space="preserve"> </w:t>
            </w:r>
            <w:r w:rsidRPr="00B61C40">
              <w:t>functions, powers and indemnities on individuals and</w:t>
            </w:r>
            <w:r w:rsidRPr="00B61C40">
              <w:rPr>
                <w:spacing w:val="1"/>
              </w:rPr>
              <w:t xml:space="preserve"> </w:t>
            </w:r>
            <w:r w:rsidRPr="00B61C40">
              <w:t>organisations inside and outside TFES, including interstate and</w:t>
            </w:r>
            <w:r w:rsidRPr="00B61C40">
              <w:rPr>
                <w:spacing w:val="1"/>
              </w:rPr>
              <w:t xml:space="preserve"> </w:t>
            </w:r>
            <w:r w:rsidRPr="00B61C40">
              <w:t>international</w:t>
            </w:r>
            <w:r w:rsidRPr="00B61C40">
              <w:rPr>
                <w:spacing w:val="-2"/>
              </w:rPr>
              <w:t xml:space="preserve"> </w:t>
            </w:r>
            <w:r w:rsidRPr="00B61C40">
              <w:t>personnel</w:t>
            </w:r>
          </w:p>
          <w:p w14:paraId="551DA2F3" w14:textId="77777777" w:rsidR="00B77AD0" w:rsidRPr="00B61C40" w:rsidRDefault="00B77AD0" w:rsidP="00B77AD0">
            <w:pPr>
              <w:pStyle w:val="TableParagraph"/>
              <w:numPr>
                <w:ilvl w:val="1"/>
                <w:numId w:val="25"/>
              </w:numPr>
              <w:spacing w:before="88" w:line="262" w:lineRule="auto"/>
              <w:ind w:left="1270" w:right="108"/>
              <w:jc w:val="both"/>
            </w:pPr>
            <w:r w:rsidRPr="00B61C40">
              <w:t>provides authority and indemnity that allows for quick response to</w:t>
            </w:r>
            <w:r w:rsidRPr="00B61C40">
              <w:rPr>
                <w:spacing w:val="-59"/>
              </w:rPr>
              <w:t xml:space="preserve"> </w:t>
            </w:r>
            <w:r w:rsidRPr="00B61C40">
              <w:t>fires in the landscape without waiting for formal instruction from</w:t>
            </w:r>
            <w:r w:rsidRPr="00B61C40">
              <w:rPr>
                <w:spacing w:val="1"/>
              </w:rPr>
              <w:t xml:space="preserve"> </w:t>
            </w:r>
            <w:r w:rsidRPr="00B61C40">
              <w:t>TFES,</w:t>
            </w:r>
            <w:r w:rsidRPr="00B61C40">
              <w:rPr>
                <w:spacing w:val="5"/>
              </w:rPr>
              <w:t xml:space="preserve"> </w:t>
            </w:r>
            <w:r w:rsidRPr="00B61C40">
              <w:t>and</w:t>
            </w:r>
            <w:r w:rsidRPr="00B61C40">
              <w:rPr>
                <w:spacing w:val="4"/>
              </w:rPr>
              <w:t xml:space="preserve"> </w:t>
            </w:r>
            <w:r w:rsidRPr="00B61C40">
              <w:t>approval</w:t>
            </w:r>
            <w:r w:rsidRPr="00B61C40">
              <w:rPr>
                <w:spacing w:val="1"/>
              </w:rPr>
              <w:t xml:space="preserve"> </w:t>
            </w:r>
            <w:r w:rsidRPr="00B61C40">
              <w:t>to</w:t>
            </w:r>
            <w:r w:rsidRPr="00B61C40">
              <w:rPr>
                <w:spacing w:val="4"/>
              </w:rPr>
              <w:t xml:space="preserve"> </w:t>
            </w:r>
            <w:r w:rsidRPr="00B61C40">
              <w:t>enter</w:t>
            </w:r>
            <w:r w:rsidRPr="00B61C40">
              <w:rPr>
                <w:spacing w:val="3"/>
              </w:rPr>
              <w:t xml:space="preserve"> </w:t>
            </w:r>
            <w:r w:rsidRPr="00B61C40">
              <w:t>private</w:t>
            </w:r>
            <w:r w:rsidRPr="00B61C40">
              <w:rPr>
                <w:spacing w:val="2"/>
              </w:rPr>
              <w:t xml:space="preserve"> </w:t>
            </w:r>
            <w:r w:rsidRPr="00B61C40">
              <w:t>land</w:t>
            </w:r>
            <w:r w:rsidRPr="00B61C40">
              <w:rPr>
                <w:spacing w:val="2"/>
              </w:rPr>
              <w:t xml:space="preserve"> </w:t>
            </w:r>
            <w:r w:rsidRPr="00B61C40">
              <w:t>to</w:t>
            </w:r>
            <w:r w:rsidRPr="00B61C40">
              <w:rPr>
                <w:spacing w:val="4"/>
              </w:rPr>
              <w:t xml:space="preserve"> </w:t>
            </w:r>
            <w:r w:rsidRPr="00B61C40">
              <w:t>address</w:t>
            </w:r>
            <w:r w:rsidRPr="00B61C40">
              <w:rPr>
                <w:spacing w:val="5"/>
              </w:rPr>
              <w:t xml:space="preserve"> </w:t>
            </w:r>
            <w:r w:rsidRPr="00B61C40">
              <w:t>fire</w:t>
            </w:r>
            <w:r w:rsidRPr="00B61C40">
              <w:rPr>
                <w:spacing w:val="1"/>
              </w:rPr>
              <w:t xml:space="preserve"> </w:t>
            </w:r>
            <w:r w:rsidRPr="00B61C40">
              <w:t>response. This should apply not just for Sustainable Timber</w:t>
            </w:r>
            <w:r w:rsidRPr="00B61C40">
              <w:rPr>
                <w:spacing w:val="1"/>
              </w:rPr>
              <w:t xml:space="preserve"> </w:t>
            </w:r>
            <w:r w:rsidRPr="00B61C40">
              <w:t>Tasmania (STT) and Parks and Wildlife Service (PWS), but also</w:t>
            </w:r>
            <w:r w:rsidRPr="00B61C40">
              <w:rPr>
                <w:spacing w:val="1"/>
              </w:rPr>
              <w:t xml:space="preserve"> </w:t>
            </w:r>
            <w:r w:rsidRPr="00B61C40">
              <w:t>the</w:t>
            </w:r>
            <w:r w:rsidRPr="00B61C40">
              <w:rPr>
                <w:spacing w:val="-2"/>
              </w:rPr>
              <w:t xml:space="preserve"> </w:t>
            </w:r>
            <w:r w:rsidRPr="00B61C40">
              <w:t>private</w:t>
            </w:r>
            <w:r w:rsidRPr="00B61C40">
              <w:rPr>
                <w:spacing w:val="-2"/>
              </w:rPr>
              <w:t xml:space="preserve"> </w:t>
            </w:r>
            <w:r w:rsidRPr="00B61C40">
              <w:t>forest</w:t>
            </w:r>
            <w:r w:rsidRPr="00B61C40">
              <w:rPr>
                <w:spacing w:val="-3"/>
              </w:rPr>
              <w:t xml:space="preserve"> </w:t>
            </w:r>
            <w:r w:rsidRPr="00B61C40">
              <w:t>industry and</w:t>
            </w:r>
            <w:r w:rsidRPr="00B61C40">
              <w:rPr>
                <w:spacing w:val="-2"/>
              </w:rPr>
              <w:t xml:space="preserve"> </w:t>
            </w:r>
            <w:r w:rsidRPr="00B61C40">
              <w:t>any</w:t>
            </w:r>
            <w:r w:rsidRPr="00B61C40">
              <w:rPr>
                <w:spacing w:val="-3"/>
              </w:rPr>
              <w:t xml:space="preserve"> </w:t>
            </w:r>
            <w:r w:rsidRPr="00B61C40">
              <w:t>other</w:t>
            </w:r>
            <w:r w:rsidRPr="00B61C40">
              <w:rPr>
                <w:spacing w:val="-2"/>
              </w:rPr>
              <w:t xml:space="preserve"> </w:t>
            </w:r>
            <w:r w:rsidRPr="00B61C40">
              <w:t>potential</w:t>
            </w:r>
            <w:r w:rsidRPr="00B61C40">
              <w:rPr>
                <w:spacing w:val="-3"/>
              </w:rPr>
              <w:t xml:space="preserve"> </w:t>
            </w:r>
            <w:r w:rsidRPr="00B61C40">
              <w:t>first</w:t>
            </w:r>
            <w:r w:rsidRPr="00B61C40">
              <w:rPr>
                <w:spacing w:val="-2"/>
              </w:rPr>
              <w:t xml:space="preserve"> </w:t>
            </w:r>
            <w:r w:rsidRPr="00B61C40">
              <w:t>responders,</w:t>
            </w:r>
          </w:p>
          <w:p w14:paraId="6D01326B" w14:textId="77777777" w:rsidR="00B77AD0" w:rsidRDefault="00B77AD0" w:rsidP="00B77AD0">
            <w:pPr>
              <w:pStyle w:val="TableParagraph"/>
              <w:spacing w:before="6"/>
              <w:ind w:left="1269"/>
              <w:jc w:val="both"/>
            </w:pPr>
            <w:proofErr w:type="gramStart"/>
            <w:r w:rsidRPr="00B61C40">
              <w:t>e.g.</w:t>
            </w:r>
            <w:proofErr w:type="gramEnd"/>
            <w:r w:rsidRPr="00B61C40">
              <w:rPr>
                <w:spacing w:val="-1"/>
              </w:rPr>
              <w:t xml:space="preserve"> </w:t>
            </w:r>
            <w:r w:rsidRPr="00B61C40">
              <w:t>appropriately</w:t>
            </w:r>
            <w:r w:rsidRPr="00B61C40">
              <w:rPr>
                <w:spacing w:val="-3"/>
              </w:rPr>
              <w:t xml:space="preserve"> </w:t>
            </w:r>
            <w:r w:rsidRPr="00B61C40">
              <w:t>resourced private</w:t>
            </w:r>
            <w:r w:rsidRPr="00B61C40">
              <w:rPr>
                <w:spacing w:val="-1"/>
              </w:rPr>
              <w:t xml:space="preserve"> </w:t>
            </w:r>
            <w:r w:rsidRPr="00B61C40">
              <w:t>land</w:t>
            </w:r>
            <w:r w:rsidRPr="00B61C40">
              <w:rPr>
                <w:spacing w:val="-3"/>
              </w:rPr>
              <w:t xml:space="preserve"> </w:t>
            </w:r>
            <w:r w:rsidRPr="00B61C40">
              <w:t>managers</w:t>
            </w:r>
          </w:p>
          <w:p w14:paraId="1BA85C54" w14:textId="77777777" w:rsidR="00B77AD0" w:rsidRDefault="00B77AD0" w:rsidP="00B77AD0">
            <w:pPr>
              <w:pStyle w:val="TableParagraph"/>
              <w:numPr>
                <w:ilvl w:val="1"/>
                <w:numId w:val="25"/>
              </w:numPr>
              <w:spacing w:before="88" w:line="262" w:lineRule="auto"/>
              <w:ind w:left="1270" w:right="108"/>
              <w:jc w:val="both"/>
            </w:pPr>
            <w:r w:rsidRPr="00B77AD0">
              <w:t>provides clarity regarding authority to act and indemnity, including linkages with existing Memorandum of Understanding (MoU) arrangements with private forests and in circumstances where authority to act may be automatic, such as fires reported through FireComm.</w:t>
            </w:r>
          </w:p>
          <w:p w14:paraId="5FCCAF79" w14:textId="77777777" w:rsidR="00B77AD0" w:rsidRDefault="00B77AD0" w:rsidP="00B77AD0">
            <w:pPr>
              <w:pStyle w:val="TableParagraph"/>
              <w:spacing w:before="88" w:line="262" w:lineRule="auto"/>
              <w:ind w:right="108"/>
              <w:jc w:val="both"/>
            </w:pPr>
          </w:p>
          <w:p w14:paraId="75EFEA42" w14:textId="77777777" w:rsidR="00B77AD0" w:rsidRDefault="00B77AD0" w:rsidP="00B77AD0">
            <w:pPr>
              <w:pStyle w:val="TableParagraph"/>
              <w:spacing w:before="88" w:line="262" w:lineRule="auto"/>
              <w:ind w:right="108"/>
              <w:jc w:val="both"/>
            </w:pPr>
          </w:p>
          <w:p w14:paraId="27ECFDFE" w14:textId="77777777" w:rsidR="00B77AD0" w:rsidRDefault="00B77AD0" w:rsidP="00B77AD0">
            <w:pPr>
              <w:pStyle w:val="TableParagraph"/>
              <w:spacing w:before="88" w:line="262" w:lineRule="auto"/>
              <w:ind w:right="108"/>
              <w:jc w:val="both"/>
            </w:pPr>
          </w:p>
          <w:p w14:paraId="56061B7A" w14:textId="77777777" w:rsidR="00B77AD0" w:rsidRDefault="00B77AD0" w:rsidP="00B77AD0">
            <w:pPr>
              <w:pStyle w:val="TableParagraph"/>
              <w:spacing w:before="88" w:line="262" w:lineRule="auto"/>
              <w:ind w:left="0" w:right="108"/>
              <w:jc w:val="both"/>
            </w:pPr>
          </w:p>
          <w:p w14:paraId="20756C0C" w14:textId="53BED349" w:rsidR="00B77AD0" w:rsidRDefault="00B77AD0" w:rsidP="00B77AD0">
            <w:pPr>
              <w:pStyle w:val="TableParagraph"/>
              <w:spacing w:before="88" w:line="262" w:lineRule="auto"/>
              <w:ind w:left="0" w:right="108"/>
              <w:jc w:val="both"/>
            </w:pPr>
          </w:p>
          <w:p w14:paraId="5ABC89EF" w14:textId="77777777" w:rsidR="00B77AD0" w:rsidRDefault="00B77AD0" w:rsidP="00B77AD0">
            <w:pPr>
              <w:pStyle w:val="TableParagraph"/>
              <w:spacing w:before="88" w:line="262" w:lineRule="auto"/>
              <w:ind w:left="0" w:right="108"/>
              <w:jc w:val="both"/>
            </w:pPr>
          </w:p>
          <w:p w14:paraId="69E65CDE" w14:textId="77777777" w:rsidR="00B77AD0" w:rsidRDefault="00B77AD0" w:rsidP="00B77AD0">
            <w:pPr>
              <w:pStyle w:val="TableParagraph"/>
              <w:spacing w:before="88" w:line="262" w:lineRule="auto"/>
              <w:ind w:right="108"/>
              <w:jc w:val="both"/>
            </w:pPr>
          </w:p>
          <w:p w14:paraId="43585C14" w14:textId="6C3C8C7C" w:rsidR="00B77AD0" w:rsidRPr="00B61C40" w:rsidRDefault="00B77AD0" w:rsidP="00B77AD0">
            <w:pPr>
              <w:pStyle w:val="TableParagraph"/>
              <w:spacing w:before="88" w:line="262" w:lineRule="auto"/>
              <w:ind w:right="108"/>
              <w:jc w:val="both"/>
            </w:pPr>
          </w:p>
        </w:tc>
        <w:tc>
          <w:tcPr>
            <w:tcW w:w="1134" w:type="dxa"/>
            <w:shd w:val="clear" w:color="auto" w:fill="D9E1F3"/>
          </w:tcPr>
          <w:p w14:paraId="2FD14B2D" w14:textId="77777777" w:rsidR="005B0C9A" w:rsidRPr="00B61C40" w:rsidRDefault="005B0C9A" w:rsidP="00056799">
            <w:pPr>
              <w:pStyle w:val="TableParagraph"/>
              <w:ind w:left="8"/>
              <w:jc w:val="both"/>
            </w:pPr>
            <w:r w:rsidRPr="00B61C40">
              <w:t>7</w:t>
            </w:r>
          </w:p>
        </w:tc>
        <w:tc>
          <w:tcPr>
            <w:tcW w:w="993" w:type="dxa"/>
            <w:shd w:val="clear" w:color="auto" w:fill="D9E1F3"/>
          </w:tcPr>
          <w:p w14:paraId="0B3DC402" w14:textId="526C9095" w:rsidR="005B0C9A" w:rsidRPr="00B61C40" w:rsidRDefault="00346F95" w:rsidP="00056799">
            <w:pPr>
              <w:pStyle w:val="TableParagraph"/>
              <w:ind w:left="148" w:right="137"/>
              <w:jc w:val="both"/>
            </w:pPr>
            <w:hyperlink w:anchor="_bookmark82" w:history="1">
              <w:r w:rsidR="005B0C9A" w:rsidRPr="00B61C40">
                <w:t>100</w:t>
              </w:r>
            </w:hyperlink>
          </w:p>
        </w:tc>
      </w:tr>
    </w:tbl>
    <w:p w14:paraId="5F52D6E4" w14:textId="77777777" w:rsidR="007C1EC5" w:rsidRDefault="007C1EC5">
      <w:r>
        <w:br w:type="page"/>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6976"/>
        <w:gridCol w:w="1134"/>
        <w:gridCol w:w="993"/>
      </w:tblGrid>
      <w:tr w:rsidR="00B77AD0" w:rsidRPr="00B61C40" w14:paraId="16B97E9D" w14:textId="77777777" w:rsidTr="00FB408E">
        <w:trPr>
          <w:trHeight w:val="292"/>
        </w:trPr>
        <w:tc>
          <w:tcPr>
            <w:tcW w:w="8505" w:type="dxa"/>
            <w:gridSpan w:val="2"/>
            <w:vMerge w:val="restart"/>
            <w:shd w:val="clear" w:color="auto" w:fill="D9D9D9"/>
          </w:tcPr>
          <w:p w14:paraId="3F345D04" w14:textId="50802687" w:rsidR="00B77AD0" w:rsidRPr="00B61C40" w:rsidRDefault="00B77AD0" w:rsidP="00FB408E">
            <w:pPr>
              <w:pStyle w:val="TableParagraph"/>
              <w:spacing w:before="172"/>
              <w:ind w:left="107"/>
              <w:jc w:val="both"/>
            </w:pPr>
            <w:r w:rsidRPr="00B61C40">
              <w:rPr>
                <w:color w:val="2D74B5"/>
              </w:rPr>
              <w:lastRenderedPageBreak/>
              <w:t>Recommendation</w:t>
            </w:r>
          </w:p>
        </w:tc>
        <w:tc>
          <w:tcPr>
            <w:tcW w:w="2127" w:type="dxa"/>
            <w:gridSpan w:val="2"/>
            <w:shd w:val="clear" w:color="auto" w:fill="D9D9D9"/>
          </w:tcPr>
          <w:p w14:paraId="56E1279C" w14:textId="77777777" w:rsidR="00B77AD0" w:rsidRPr="00B61C40" w:rsidRDefault="00B77AD0"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B77AD0" w:rsidRPr="00B61C40" w14:paraId="2BE1B843" w14:textId="77777777" w:rsidTr="00FB408E">
        <w:trPr>
          <w:trHeight w:val="292"/>
        </w:trPr>
        <w:tc>
          <w:tcPr>
            <w:tcW w:w="8505" w:type="dxa"/>
            <w:gridSpan w:val="2"/>
            <w:vMerge/>
            <w:tcBorders>
              <w:top w:val="nil"/>
            </w:tcBorders>
            <w:shd w:val="clear" w:color="auto" w:fill="D9D9D9"/>
          </w:tcPr>
          <w:p w14:paraId="653B18F0" w14:textId="77777777" w:rsidR="00B77AD0" w:rsidRPr="00B61C40" w:rsidRDefault="00B77AD0" w:rsidP="00FB408E">
            <w:pPr>
              <w:jc w:val="both"/>
              <w:rPr>
                <w:rFonts w:ascii="Arial" w:hAnsi="Arial" w:cs="Arial"/>
                <w:sz w:val="22"/>
                <w:szCs w:val="22"/>
              </w:rPr>
            </w:pPr>
          </w:p>
        </w:tc>
        <w:tc>
          <w:tcPr>
            <w:tcW w:w="1134" w:type="dxa"/>
            <w:shd w:val="clear" w:color="auto" w:fill="D9D9D9"/>
          </w:tcPr>
          <w:p w14:paraId="2738891A" w14:textId="77777777" w:rsidR="00B77AD0" w:rsidRPr="00B61C40" w:rsidRDefault="00B77AD0"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3EF08316" w14:textId="77777777" w:rsidR="00B77AD0" w:rsidRPr="00B61C40" w:rsidRDefault="00B77AD0" w:rsidP="00FB408E">
            <w:pPr>
              <w:pStyle w:val="TableParagraph"/>
              <w:spacing w:before="21" w:line="251" w:lineRule="exact"/>
              <w:ind w:left="148" w:right="139"/>
              <w:jc w:val="both"/>
            </w:pPr>
            <w:r w:rsidRPr="00B61C40">
              <w:rPr>
                <w:color w:val="2D74B5"/>
              </w:rPr>
              <w:t>Page</w:t>
            </w:r>
          </w:p>
        </w:tc>
      </w:tr>
      <w:tr w:rsidR="005B0C9A" w:rsidRPr="00B61C40" w14:paraId="05691F13" w14:textId="77777777" w:rsidTr="007F68B4">
        <w:trPr>
          <w:trHeight w:val="7361"/>
        </w:trPr>
        <w:tc>
          <w:tcPr>
            <w:tcW w:w="1529" w:type="dxa"/>
            <w:shd w:val="clear" w:color="auto" w:fill="D9E1F3"/>
          </w:tcPr>
          <w:p w14:paraId="51DD37EE" w14:textId="77777777" w:rsidR="005B0C9A" w:rsidRPr="00B61C40" w:rsidRDefault="005B0C9A" w:rsidP="00056799">
            <w:pPr>
              <w:pStyle w:val="TableParagraph"/>
              <w:ind w:left="140" w:right="131"/>
              <w:jc w:val="both"/>
            </w:pPr>
            <w:r w:rsidRPr="00B61C40">
              <w:t>29</w:t>
            </w:r>
          </w:p>
        </w:tc>
        <w:tc>
          <w:tcPr>
            <w:tcW w:w="6976" w:type="dxa"/>
            <w:shd w:val="clear" w:color="auto" w:fill="D9E1F3"/>
          </w:tcPr>
          <w:p w14:paraId="2EB79375" w14:textId="77777777" w:rsidR="005B0C9A" w:rsidRPr="00B61C40" w:rsidRDefault="005B0C9A" w:rsidP="00056799">
            <w:pPr>
              <w:pStyle w:val="TableParagraph"/>
              <w:numPr>
                <w:ilvl w:val="0"/>
                <w:numId w:val="24"/>
              </w:numPr>
              <w:tabs>
                <w:tab w:val="left" w:pos="685"/>
                <w:tab w:val="left" w:pos="686"/>
              </w:tabs>
              <w:spacing w:before="93"/>
              <w:jc w:val="both"/>
            </w:pPr>
            <w:r w:rsidRPr="00B61C40">
              <w:t>Legislate</w:t>
            </w:r>
            <w:r w:rsidRPr="00B61C40">
              <w:rPr>
                <w:spacing w:val="-1"/>
              </w:rPr>
              <w:t xml:space="preserve"> </w:t>
            </w:r>
            <w:r w:rsidRPr="00B61C40">
              <w:t>to:</w:t>
            </w:r>
          </w:p>
          <w:p w14:paraId="53A0BBDB" w14:textId="77777777" w:rsidR="005B0C9A" w:rsidRPr="00B61C40" w:rsidRDefault="005B0C9A" w:rsidP="00056799">
            <w:pPr>
              <w:pStyle w:val="TableParagraph"/>
              <w:numPr>
                <w:ilvl w:val="1"/>
                <w:numId w:val="24"/>
              </w:numPr>
              <w:tabs>
                <w:tab w:val="left" w:pos="1270"/>
              </w:tabs>
              <w:spacing w:before="105" w:line="259" w:lineRule="auto"/>
              <w:ind w:right="172"/>
              <w:jc w:val="both"/>
            </w:pPr>
            <w:r w:rsidRPr="00B61C40">
              <w:t>address conflicting, duplicated or gaps in the roles of the</w:t>
            </w:r>
            <w:r w:rsidRPr="00B61C40">
              <w:rPr>
                <w:spacing w:val="1"/>
              </w:rPr>
              <w:t xml:space="preserve"> </w:t>
            </w:r>
            <w:r w:rsidRPr="00B61C40">
              <w:t>proposed Tasmania Fire and Emergency Services (TFES), Parks</w:t>
            </w:r>
            <w:r w:rsidRPr="00B61C40">
              <w:rPr>
                <w:spacing w:val="-60"/>
              </w:rPr>
              <w:t xml:space="preserve"> </w:t>
            </w:r>
            <w:r w:rsidRPr="00B61C40">
              <w:t>and Wildlife (PWS), Sustainable Timber Tasmania (STT) and</w:t>
            </w:r>
            <w:r w:rsidRPr="00B61C40">
              <w:rPr>
                <w:spacing w:val="1"/>
              </w:rPr>
              <w:t xml:space="preserve"> </w:t>
            </w:r>
            <w:r w:rsidRPr="00B61C40">
              <w:t>private</w:t>
            </w:r>
            <w:r w:rsidRPr="00B61C40">
              <w:rPr>
                <w:spacing w:val="-1"/>
              </w:rPr>
              <w:t xml:space="preserve"> </w:t>
            </w:r>
            <w:r w:rsidRPr="00B61C40">
              <w:t>entities involved</w:t>
            </w:r>
            <w:r w:rsidRPr="00B61C40">
              <w:rPr>
                <w:spacing w:val="-2"/>
              </w:rPr>
              <w:t xml:space="preserve"> </w:t>
            </w:r>
            <w:r w:rsidRPr="00B61C40">
              <w:t>in</w:t>
            </w:r>
            <w:r w:rsidRPr="00B61C40">
              <w:rPr>
                <w:spacing w:val="-1"/>
              </w:rPr>
              <w:t xml:space="preserve"> </w:t>
            </w:r>
            <w:r w:rsidRPr="00B61C40">
              <w:t>dealing with fires</w:t>
            </w:r>
          </w:p>
          <w:p w14:paraId="58539DEB" w14:textId="77777777" w:rsidR="005B0C9A" w:rsidRPr="00B61C40" w:rsidRDefault="005B0C9A" w:rsidP="00056799">
            <w:pPr>
              <w:pStyle w:val="TableParagraph"/>
              <w:numPr>
                <w:ilvl w:val="1"/>
                <w:numId w:val="24"/>
              </w:numPr>
              <w:tabs>
                <w:tab w:val="left" w:pos="1270"/>
              </w:tabs>
              <w:spacing w:before="88" w:line="247" w:lineRule="auto"/>
              <w:ind w:right="572"/>
              <w:jc w:val="both"/>
            </w:pPr>
            <w:r w:rsidRPr="00B61C40">
              <w:t>allow non-TFES officers in charge of fire suppression to have</w:t>
            </w:r>
            <w:r w:rsidRPr="00B61C40">
              <w:rPr>
                <w:spacing w:val="-59"/>
              </w:rPr>
              <w:t xml:space="preserve"> </w:t>
            </w:r>
            <w:r w:rsidRPr="00B61C40">
              <w:t>access</w:t>
            </w:r>
            <w:r w:rsidRPr="00B61C40">
              <w:rPr>
                <w:spacing w:val="-3"/>
              </w:rPr>
              <w:t xml:space="preserve"> </w:t>
            </w:r>
            <w:r w:rsidRPr="00B61C40">
              <w:t>to,</w:t>
            </w:r>
            <w:r w:rsidRPr="00B61C40">
              <w:rPr>
                <w:spacing w:val="-1"/>
              </w:rPr>
              <w:t xml:space="preserve"> </w:t>
            </w:r>
            <w:r w:rsidRPr="00B61C40">
              <w:t>and</w:t>
            </w:r>
            <w:r w:rsidRPr="00B61C40">
              <w:rPr>
                <w:spacing w:val="-3"/>
              </w:rPr>
              <w:t xml:space="preserve"> </w:t>
            </w:r>
            <w:r w:rsidRPr="00B61C40">
              <w:t>to deal with,</w:t>
            </w:r>
            <w:r w:rsidRPr="00B61C40">
              <w:rPr>
                <w:spacing w:val="-2"/>
              </w:rPr>
              <w:t xml:space="preserve"> </w:t>
            </w:r>
            <w:r w:rsidRPr="00B61C40">
              <w:t>a</w:t>
            </w:r>
            <w:r w:rsidRPr="00B61C40">
              <w:rPr>
                <w:spacing w:val="-2"/>
              </w:rPr>
              <w:t xml:space="preserve"> </w:t>
            </w:r>
            <w:r w:rsidRPr="00B61C40">
              <w:t>fire as soon</w:t>
            </w:r>
            <w:r w:rsidRPr="00B61C40">
              <w:rPr>
                <w:spacing w:val="-2"/>
              </w:rPr>
              <w:t xml:space="preserve"> </w:t>
            </w:r>
            <w:r w:rsidRPr="00B61C40">
              <w:t>as</w:t>
            </w:r>
            <w:r w:rsidRPr="00B61C40">
              <w:rPr>
                <w:spacing w:val="-2"/>
              </w:rPr>
              <w:t xml:space="preserve"> </w:t>
            </w:r>
            <w:r w:rsidRPr="00B61C40">
              <w:t>possible</w:t>
            </w:r>
          </w:p>
          <w:p w14:paraId="1ADE26A7" w14:textId="77777777" w:rsidR="005B0C9A" w:rsidRPr="00B61C40" w:rsidRDefault="005B0C9A" w:rsidP="00056799">
            <w:pPr>
              <w:pStyle w:val="TableParagraph"/>
              <w:numPr>
                <w:ilvl w:val="1"/>
                <w:numId w:val="24"/>
              </w:numPr>
              <w:tabs>
                <w:tab w:val="left" w:pos="1270"/>
              </w:tabs>
              <w:spacing w:before="101" w:line="256" w:lineRule="auto"/>
              <w:ind w:right="144"/>
              <w:jc w:val="both"/>
            </w:pPr>
            <w:r w:rsidRPr="00B61C40">
              <w:t>include in the mandate of TFES the power to confer specified</w:t>
            </w:r>
            <w:r w:rsidRPr="00B61C40">
              <w:rPr>
                <w:spacing w:val="1"/>
              </w:rPr>
              <w:t xml:space="preserve"> </w:t>
            </w:r>
            <w:r w:rsidRPr="00B61C40">
              <w:t>functions and powers on individuals and organisations, including</w:t>
            </w:r>
            <w:r w:rsidRPr="00B61C40">
              <w:rPr>
                <w:spacing w:val="1"/>
              </w:rPr>
              <w:t xml:space="preserve"> </w:t>
            </w:r>
            <w:r w:rsidRPr="00B61C40">
              <w:t>interstate</w:t>
            </w:r>
            <w:r w:rsidRPr="00B61C40">
              <w:rPr>
                <w:spacing w:val="-2"/>
              </w:rPr>
              <w:t xml:space="preserve"> </w:t>
            </w:r>
            <w:r w:rsidRPr="00B61C40">
              <w:t>or</w:t>
            </w:r>
            <w:r w:rsidRPr="00B61C40">
              <w:rPr>
                <w:spacing w:val="-1"/>
              </w:rPr>
              <w:t xml:space="preserve"> </w:t>
            </w:r>
            <w:r w:rsidRPr="00B61C40">
              <w:t>international</w:t>
            </w:r>
            <w:r w:rsidRPr="00B61C40">
              <w:rPr>
                <w:spacing w:val="-3"/>
              </w:rPr>
              <w:t xml:space="preserve"> </w:t>
            </w:r>
            <w:r w:rsidRPr="00B61C40">
              <w:t>personnel,</w:t>
            </w:r>
            <w:r w:rsidRPr="00B61C40">
              <w:rPr>
                <w:spacing w:val="-3"/>
              </w:rPr>
              <w:t xml:space="preserve"> </w:t>
            </w:r>
            <w:r w:rsidRPr="00B61C40">
              <w:t>inside</w:t>
            </w:r>
            <w:r w:rsidRPr="00B61C40">
              <w:rPr>
                <w:spacing w:val="-1"/>
              </w:rPr>
              <w:t xml:space="preserve"> </w:t>
            </w:r>
            <w:r w:rsidRPr="00B61C40">
              <w:t>or</w:t>
            </w:r>
            <w:r w:rsidRPr="00B61C40">
              <w:rPr>
                <w:spacing w:val="-3"/>
              </w:rPr>
              <w:t xml:space="preserve"> </w:t>
            </w:r>
            <w:r w:rsidRPr="00B61C40">
              <w:t>outside</w:t>
            </w:r>
            <w:r w:rsidRPr="00B61C40">
              <w:rPr>
                <w:spacing w:val="-2"/>
              </w:rPr>
              <w:t xml:space="preserve"> </w:t>
            </w:r>
            <w:r w:rsidRPr="00B61C40">
              <w:t>of</w:t>
            </w:r>
            <w:r w:rsidRPr="00B61C40">
              <w:rPr>
                <w:spacing w:val="-3"/>
              </w:rPr>
              <w:t xml:space="preserve"> </w:t>
            </w:r>
            <w:r w:rsidRPr="00B61C40">
              <w:t>the</w:t>
            </w:r>
            <w:r w:rsidRPr="00B61C40">
              <w:rPr>
                <w:spacing w:val="-3"/>
              </w:rPr>
              <w:t xml:space="preserve"> </w:t>
            </w:r>
            <w:r w:rsidRPr="00B61C40">
              <w:t>entity</w:t>
            </w:r>
          </w:p>
          <w:p w14:paraId="577D85D2" w14:textId="77777777" w:rsidR="005B0C9A" w:rsidRPr="00B61C40" w:rsidRDefault="005B0C9A" w:rsidP="00056799">
            <w:pPr>
              <w:pStyle w:val="TableParagraph"/>
              <w:numPr>
                <w:ilvl w:val="1"/>
                <w:numId w:val="24"/>
              </w:numPr>
              <w:tabs>
                <w:tab w:val="left" w:pos="1270"/>
              </w:tabs>
              <w:spacing w:before="87" w:line="259" w:lineRule="auto"/>
              <w:ind w:right="342"/>
              <w:jc w:val="both"/>
            </w:pPr>
            <w:r w:rsidRPr="00B61C40">
              <w:t>include a Head of Power, exercisable at the discretion of TFES,</w:t>
            </w:r>
            <w:r w:rsidRPr="00B61C40">
              <w:rPr>
                <w:spacing w:val="-60"/>
              </w:rPr>
              <w:t xml:space="preserve"> </w:t>
            </w:r>
            <w:r w:rsidRPr="00B61C40">
              <w:t>allowing protocols to be developed to manage the relationship</w:t>
            </w:r>
            <w:r w:rsidRPr="00B61C40">
              <w:rPr>
                <w:spacing w:val="1"/>
              </w:rPr>
              <w:t xml:space="preserve"> </w:t>
            </w:r>
            <w:r w:rsidRPr="00B61C40">
              <w:t>between the entity and other land management agencies and</w:t>
            </w:r>
            <w:r w:rsidRPr="00B61C40">
              <w:rPr>
                <w:spacing w:val="1"/>
              </w:rPr>
              <w:t xml:space="preserve"> </w:t>
            </w:r>
            <w:r w:rsidRPr="00B61C40">
              <w:t>emergency services agencies, including</w:t>
            </w:r>
            <w:r w:rsidRPr="00B61C40">
              <w:rPr>
                <w:spacing w:val="-1"/>
              </w:rPr>
              <w:t xml:space="preserve"> </w:t>
            </w:r>
            <w:r w:rsidRPr="00B61C40">
              <w:t>Tasmania</w:t>
            </w:r>
            <w:r w:rsidRPr="00B61C40">
              <w:rPr>
                <w:spacing w:val="-1"/>
              </w:rPr>
              <w:t xml:space="preserve"> </w:t>
            </w:r>
            <w:r w:rsidRPr="00B61C40">
              <w:t>Police</w:t>
            </w:r>
          </w:p>
          <w:p w14:paraId="0583A920" w14:textId="77777777" w:rsidR="005B0C9A" w:rsidRPr="00B61C40" w:rsidRDefault="005B0C9A" w:rsidP="00056799">
            <w:pPr>
              <w:pStyle w:val="TableParagraph"/>
              <w:numPr>
                <w:ilvl w:val="1"/>
                <w:numId w:val="24"/>
              </w:numPr>
              <w:tabs>
                <w:tab w:val="left" w:pos="1270"/>
              </w:tabs>
              <w:spacing w:before="88" w:line="261" w:lineRule="auto"/>
              <w:ind w:right="231"/>
              <w:jc w:val="both"/>
            </w:pPr>
            <w:r w:rsidRPr="00B61C40">
              <w:t>provide firefighters, SES workers and other delegated</w:t>
            </w:r>
            <w:r w:rsidRPr="00B61C40">
              <w:rPr>
                <w:spacing w:val="1"/>
              </w:rPr>
              <w:t xml:space="preserve"> </w:t>
            </w:r>
            <w:r w:rsidRPr="00B61C40">
              <w:t>agencies/people with protection from liability (as occurs currently</w:t>
            </w:r>
            <w:r w:rsidRPr="00B61C40">
              <w:rPr>
                <w:spacing w:val="-59"/>
              </w:rPr>
              <w:t xml:space="preserve"> </w:t>
            </w:r>
            <w:r w:rsidRPr="00B61C40">
              <w:t>through section 51 of the Emergency Management Act). Other</w:t>
            </w:r>
            <w:r w:rsidRPr="00B61C40">
              <w:rPr>
                <w:spacing w:val="1"/>
              </w:rPr>
              <w:t xml:space="preserve"> </w:t>
            </w:r>
            <w:r w:rsidRPr="00B61C40">
              <w:t>delegated agencies/people to be ‘loosely’ defined so as to</w:t>
            </w:r>
            <w:r w:rsidRPr="00B61C40">
              <w:rPr>
                <w:spacing w:val="1"/>
              </w:rPr>
              <w:t xml:space="preserve"> </w:t>
            </w:r>
            <w:r w:rsidRPr="00B61C40">
              <w:t>provide protection for the range of persons involved in the</w:t>
            </w:r>
            <w:r w:rsidRPr="00B61C40">
              <w:rPr>
                <w:spacing w:val="1"/>
              </w:rPr>
              <w:t xml:space="preserve"> </w:t>
            </w:r>
            <w:r w:rsidRPr="00B61C40">
              <w:t>provision of</w:t>
            </w:r>
            <w:r w:rsidRPr="00B61C40">
              <w:rPr>
                <w:spacing w:val="-1"/>
              </w:rPr>
              <w:t xml:space="preserve"> </w:t>
            </w:r>
            <w:r w:rsidRPr="00B61C40">
              <w:t>fire</w:t>
            </w:r>
            <w:r w:rsidRPr="00B61C40">
              <w:rPr>
                <w:spacing w:val="-2"/>
              </w:rPr>
              <w:t xml:space="preserve"> </w:t>
            </w:r>
            <w:r w:rsidRPr="00B61C40">
              <w:t>and</w:t>
            </w:r>
            <w:r w:rsidRPr="00B61C40">
              <w:rPr>
                <w:spacing w:val="-2"/>
              </w:rPr>
              <w:t xml:space="preserve"> </w:t>
            </w:r>
            <w:r w:rsidRPr="00B61C40">
              <w:t>emergency</w:t>
            </w:r>
            <w:r w:rsidRPr="00B61C40">
              <w:rPr>
                <w:spacing w:val="-2"/>
              </w:rPr>
              <w:t xml:space="preserve"> </w:t>
            </w:r>
            <w:r w:rsidRPr="00B61C40">
              <w:t>services</w:t>
            </w:r>
            <w:r w:rsidRPr="00B61C40">
              <w:rPr>
                <w:spacing w:val="-2"/>
              </w:rPr>
              <w:t xml:space="preserve"> </w:t>
            </w:r>
            <w:r w:rsidRPr="00B61C40">
              <w:t>but who</w:t>
            </w:r>
            <w:r w:rsidRPr="00B61C40">
              <w:rPr>
                <w:spacing w:val="-2"/>
              </w:rPr>
              <w:t xml:space="preserve"> </w:t>
            </w:r>
            <w:r w:rsidRPr="00B61C40">
              <w:t>may be</w:t>
            </w:r>
          </w:p>
          <w:p w14:paraId="26FBF051" w14:textId="77777777" w:rsidR="005B0C9A" w:rsidRPr="00B61C40" w:rsidRDefault="005B0C9A" w:rsidP="00056799">
            <w:pPr>
              <w:pStyle w:val="TableParagraph"/>
              <w:spacing w:before="9"/>
              <w:ind w:left="1269"/>
              <w:jc w:val="both"/>
            </w:pPr>
            <w:r w:rsidRPr="00B61C40">
              <w:t>non-firefighters/non-emergency</w:t>
            </w:r>
            <w:r w:rsidRPr="00B61C40">
              <w:rPr>
                <w:spacing w:val="-5"/>
              </w:rPr>
              <w:t xml:space="preserve"> </w:t>
            </w:r>
            <w:r w:rsidRPr="00B61C40">
              <w:t>workers/not</w:t>
            </w:r>
            <w:r w:rsidRPr="00B61C40">
              <w:rPr>
                <w:spacing w:val="-2"/>
              </w:rPr>
              <w:t xml:space="preserve"> </w:t>
            </w:r>
            <w:r w:rsidRPr="00B61C40">
              <w:t>public</w:t>
            </w:r>
            <w:r w:rsidRPr="00B61C40">
              <w:rPr>
                <w:spacing w:val="-4"/>
              </w:rPr>
              <w:t xml:space="preserve"> </w:t>
            </w:r>
            <w:r w:rsidRPr="00B61C40">
              <w:t>servants</w:t>
            </w:r>
          </w:p>
          <w:p w14:paraId="2A3F160A" w14:textId="77777777" w:rsidR="005B0C9A" w:rsidRPr="00B61C40" w:rsidRDefault="005B0C9A" w:rsidP="00056799">
            <w:pPr>
              <w:pStyle w:val="TableParagraph"/>
              <w:numPr>
                <w:ilvl w:val="1"/>
                <w:numId w:val="24"/>
              </w:numPr>
              <w:tabs>
                <w:tab w:val="left" w:pos="1270"/>
              </w:tabs>
              <w:spacing w:before="104" w:line="256" w:lineRule="auto"/>
              <w:ind w:right="209"/>
              <w:jc w:val="both"/>
            </w:pPr>
            <w:r w:rsidRPr="00B61C40">
              <w:t>authorise TFES, PWS and STT to close roads to protect public</w:t>
            </w:r>
            <w:r w:rsidRPr="00B61C40">
              <w:rPr>
                <w:spacing w:val="1"/>
              </w:rPr>
              <w:t xml:space="preserve"> </w:t>
            </w:r>
            <w:r w:rsidRPr="00B61C40">
              <w:t>safety</w:t>
            </w:r>
            <w:r w:rsidRPr="00B61C40">
              <w:rPr>
                <w:spacing w:val="-3"/>
              </w:rPr>
              <w:t xml:space="preserve"> </w:t>
            </w:r>
            <w:r w:rsidRPr="00B61C40">
              <w:t>during</w:t>
            </w:r>
            <w:r w:rsidRPr="00B61C40">
              <w:rPr>
                <w:spacing w:val="-2"/>
              </w:rPr>
              <w:t xml:space="preserve"> </w:t>
            </w:r>
            <w:r w:rsidRPr="00B61C40">
              <w:t>a</w:t>
            </w:r>
            <w:r w:rsidRPr="00B61C40">
              <w:rPr>
                <w:spacing w:val="-2"/>
              </w:rPr>
              <w:t xml:space="preserve"> </w:t>
            </w:r>
            <w:r w:rsidRPr="00B61C40">
              <w:t>fire,</w:t>
            </w:r>
            <w:r w:rsidRPr="00B61C40">
              <w:rPr>
                <w:spacing w:val="-1"/>
              </w:rPr>
              <w:t xml:space="preserve"> </w:t>
            </w:r>
            <w:r w:rsidRPr="00B61C40">
              <w:t>flood</w:t>
            </w:r>
            <w:r w:rsidRPr="00B61C40">
              <w:rPr>
                <w:spacing w:val="-2"/>
              </w:rPr>
              <w:t xml:space="preserve"> </w:t>
            </w:r>
            <w:r w:rsidRPr="00B61C40">
              <w:t>or</w:t>
            </w:r>
            <w:r w:rsidRPr="00B61C40">
              <w:rPr>
                <w:spacing w:val="-1"/>
              </w:rPr>
              <w:t xml:space="preserve"> </w:t>
            </w:r>
            <w:r w:rsidRPr="00B61C40">
              <w:t>storm</w:t>
            </w:r>
            <w:r w:rsidRPr="00B61C40">
              <w:rPr>
                <w:spacing w:val="-1"/>
              </w:rPr>
              <w:t xml:space="preserve"> </w:t>
            </w:r>
            <w:r w:rsidRPr="00B61C40">
              <w:t>hazard</w:t>
            </w:r>
            <w:r w:rsidRPr="00B61C40">
              <w:rPr>
                <w:spacing w:val="-1"/>
              </w:rPr>
              <w:t xml:space="preserve"> </w:t>
            </w:r>
            <w:r w:rsidRPr="00B61C40">
              <w:t>and</w:t>
            </w:r>
            <w:r w:rsidRPr="00B61C40">
              <w:rPr>
                <w:spacing w:val="-2"/>
              </w:rPr>
              <w:t xml:space="preserve"> </w:t>
            </w:r>
            <w:r w:rsidRPr="00B61C40">
              <w:t>to</w:t>
            </w:r>
            <w:r w:rsidRPr="00B61C40">
              <w:rPr>
                <w:spacing w:val="-4"/>
              </w:rPr>
              <w:t xml:space="preserve"> </w:t>
            </w:r>
            <w:r w:rsidRPr="00B61C40">
              <w:t>have a</w:t>
            </w:r>
            <w:r w:rsidRPr="00B61C40">
              <w:rPr>
                <w:spacing w:val="1"/>
              </w:rPr>
              <w:t xml:space="preserve"> </w:t>
            </w:r>
            <w:r w:rsidRPr="00B61C40">
              <w:t>power</w:t>
            </w:r>
            <w:r w:rsidRPr="00B61C40">
              <w:rPr>
                <w:spacing w:val="-1"/>
              </w:rPr>
              <w:t xml:space="preserve"> </w:t>
            </w:r>
            <w:r w:rsidRPr="00B61C40">
              <w:t>to</w:t>
            </w:r>
            <w:r w:rsidRPr="00B61C40">
              <w:rPr>
                <w:spacing w:val="-58"/>
              </w:rPr>
              <w:t xml:space="preserve"> </w:t>
            </w:r>
            <w:r w:rsidRPr="00B61C40">
              <w:t>regulate</w:t>
            </w:r>
            <w:r w:rsidRPr="00B61C40">
              <w:rPr>
                <w:spacing w:val="-2"/>
              </w:rPr>
              <w:t xml:space="preserve"> </w:t>
            </w:r>
            <w:r w:rsidRPr="00B61C40">
              <w:t>traffic,</w:t>
            </w:r>
            <w:r w:rsidRPr="00B61C40">
              <w:rPr>
                <w:spacing w:val="2"/>
              </w:rPr>
              <w:t xml:space="preserve"> </w:t>
            </w:r>
            <w:r w:rsidRPr="00B61C40">
              <w:t>not</w:t>
            </w:r>
            <w:r w:rsidRPr="00B61C40">
              <w:rPr>
                <w:spacing w:val="-1"/>
              </w:rPr>
              <w:t xml:space="preserve"> </w:t>
            </w:r>
            <w:r w:rsidRPr="00B61C40">
              <w:t>just</w:t>
            </w:r>
            <w:r w:rsidRPr="00B61C40">
              <w:rPr>
                <w:spacing w:val="2"/>
              </w:rPr>
              <w:t xml:space="preserve"> </w:t>
            </w:r>
            <w:r w:rsidRPr="00B61C40">
              <w:t>close a</w:t>
            </w:r>
            <w:r w:rsidRPr="00B61C40">
              <w:rPr>
                <w:spacing w:val="-3"/>
              </w:rPr>
              <w:t xml:space="preserve"> </w:t>
            </w:r>
            <w:r w:rsidRPr="00B61C40">
              <w:t>road.</w:t>
            </w:r>
          </w:p>
        </w:tc>
        <w:tc>
          <w:tcPr>
            <w:tcW w:w="1134" w:type="dxa"/>
            <w:shd w:val="clear" w:color="auto" w:fill="D9E1F3"/>
          </w:tcPr>
          <w:p w14:paraId="513D4377" w14:textId="77777777" w:rsidR="005B0C9A" w:rsidRPr="00B61C40" w:rsidRDefault="005B0C9A" w:rsidP="00056799">
            <w:pPr>
              <w:pStyle w:val="TableParagraph"/>
              <w:ind w:left="8"/>
              <w:jc w:val="both"/>
            </w:pPr>
            <w:r w:rsidRPr="00B61C40">
              <w:t>7</w:t>
            </w:r>
          </w:p>
        </w:tc>
        <w:tc>
          <w:tcPr>
            <w:tcW w:w="993" w:type="dxa"/>
            <w:shd w:val="clear" w:color="auto" w:fill="D9E1F3"/>
          </w:tcPr>
          <w:p w14:paraId="36521129" w14:textId="29F372C5" w:rsidR="005B0C9A" w:rsidRPr="00B61C40" w:rsidRDefault="00346F95" w:rsidP="00056799">
            <w:pPr>
              <w:pStyle w:val="TableParagraph"/>
              <w:ind w:left="148" w:right="137"/>
              <w:jc w:val="both"/>
            </w:pPr>
            <w:hyperlink w:anchor="_bookmark84" w:history="1">
              <w:r w:rsidR="005B0C9A" w:rsidRPr="00B61C40">
                <w:t>103</w:t>
              </w:r>
            </w:hyperlink>
          </w:p>
        </w:tc>
      </w:tr>
      <w:tr w:rsidR="005B0C9A" w:rsidRPr="00B61C40" w14:paraId="461D56DD" w14:textId="77777777" w:rsidTr="007F68B4">
        <w:trPr>
          <w:trHeight w:val="1278"/>
        </w:trPr>
        <w:tc>
          <w:tcPr>
            <w:tcW w:w="1529" w:type="dxa"/>
            <w:shd w:val="clear" w:color="auto" w:fill="D9E1F3"/>
          </w:tcPr>
          <w:p w14:paraId="2CD9D2D4" w14:textId="77777777" w:rsidR="005B0C9A" w:rsidRPr="00B61C40" w:rsidRDefault="005B0C9A" w:rsidP="00056799">
            <w:pPr>
              <w:pStyle w:val="TableParagraph"/>
              <w:ind w:left="140" w:right="131"/>
              <w:jc w:val="both"/>
            </w:pPr>
            <w:r w:rsidRPr="00B61C40">
              <w:t>30</w:t>
            </w:r>
          </w:p>
        </w:tc>
        <w:tc>
          <w:tcPr>
            <w:tcW w:w="6976" w:type="dxa"/>
            <w:shd w:val="clear" w:color="auto" w:fill="D9E1F3"/>
          </w:tcPr>
          <w:p w14:paraId="24055BD1" w14:textId="77777777" w:rsidR="005B0C9A" w:rsidRDefault="005B0C9A" w:rsidP="00056799">
            <w:pPr>
              <w:pStyle w:val="TableParagraph"/>
              <w:numPr>
                <w:ilvl w:val="0"/>
                <w:numId w:val="23"/>
              </w:numPr>
              <w:tabs>
                <w:tab w:val="left" w:pos="685"/>
                <w:tab w:val="left" w:pos="686"/>
              </w:tabs>
              <w:spacing w:before="93" w:line="264" w:lineRule="auto"/>
              <w:ind w:right="458"/>
              <w:jc w:val="both"/>
            </w:pPr>
            <w:r w:rsidRPr="00B61C40">
              <w:t>Leave the decision-making and nomination process to appoint fire</w:t>
            </w:r>
            <w:r w:rsidRPr="00B61C40">
              <w:rPr>
                <w:spacing w:val="1"/>
              </w:rPr>
              <w:t xml:space="preserve"> </w:t>
            </w:r>
            <w:r w:rsidRPr="00B61C40">
              <w:t>permit officers to the senior management of the relevant responsible</w:t>
            </w:r>
            <w:r w:rsidRPr="00B61C40">
              <w:rPr>
                <w:spacing w:val="-59"/>
              </w:rPr>
              <w:t xml:space="preserve"> </w:t>
            </w:r>
            <w:r w:rsidRPr="00B61C40">
              <w:t>agencies, depending on their specific responsibilities in regards, for</w:t>
            </w:r>
            <w:r w:rsidRPr="00B61C40">
              <w:rPr>
                <w:spacing w:val="1"/>
              </w:rPr>
              <w:t xml:space="preserve"> </w:t>
            </w:r>
            <w:r w:rsidRPr="00B61C40">
              <w:t>example,</w:t>
            </w:r>
            <w:r w:rsidRPr="00B61C40">
              <w:rPr>
                <w:spacing w:val="-2"/>
              </w:rPr>
              <w:t xml:space="preserve"> </w:t>
            </w:r>
            <w:r w:rsidRPr="00B61C40">
              <w:t>to</w:t>
            </w:r>
            <w:r w:rsidRPr="00B61C40">
              <w:rPr>
                <w:spacing w:val="-2"/>
              </w:rPr>
              <w:t xml:space="preserve"> </w:t>
            </w:r>
            <w:r w:rsidRPr="00B61C40">
              <w:t>the</w:t>
            </w:r>
            <w:r w:rsidRPr="00B61C40">
              <w:rPr>
                <w:spacing w:val="-2"/>
              </w:rPr>
              <w:t xml:space="preserve"> </w:t>
            </w:r>
            <w:r w:rsidRPr="00B61C40">
              <w:t>land tenure with</w:t>
            </w:r>
            <w:r w:rsidRPr="00B61C40">
              <w:rPr>
                <w:spacing w:val="-2"/>
              </w:rPr>
              <w:t xml:space="preserve"> </w:t>
            </w:r>
            <w:r w:rsidRPr="00B61C40">
              <w:t>which it</w:t>
            </w:r>
            <w:r w:rsidRPr="00B61C40">
              <w:rPr>
                <w:spacing w:val="1"/>
              </w:rPr>
              <w:t xml:space="preserve"> </w:t>
            </w:r>
            <w:r w:rsidRPr="00B61C40">
              <w:t>is</w:t>
            </w:r>
            <w:r w:rsidRPr="00B61C40">
              <w:rPr>
                <w:spacing w:val="-2"/>
              </w:rPr>
              <w:t xml:space="preserve"> </w:t>
            </w:r>
            <w:r w:rsidRPr="00B61C40">
              <w:t>concerned.</w:t>
            </w:r>
          </w:p>
          <w:p w14:paraId="2501DC2B" w14:textId="77777777" w:rsidR="007C1EC5" w:rsidRDefault="007C1EC5" w:rsidP="007C1EC5">
            <w:pPr>
              <w:pStyle w:val="TableParagraph"/>
              <w:tabs>
                <w:tab w:val="left" w:pos="685"/>
                <w:tab w:val="left" w:pos="686"/>
              </w:tabs>
              <w:spacing w:before="93" w:line="264" w:lineRule="auto"/>
              <w:ind w:left="686" w:right="458"/>
              <w:jc w:val="both"/>
            </w:pPr>
          </w:p>
          <w:p w14:paraId="5DB79779" w14:textId="77777777" w:rsidR="007C1EC5" w:rsidRDefault="007C1EC5" w:rsidP="007C1EC5">
            <w:pPr>
              <w:pStyle w:val="TableParagraph"/>
              <w:tabs>
                <w:tab w:val="left" w:pos="685"/>
                <w:tab w:val="left" w:pos="686"/>
              </w:tabs>
              <w:spacing w:before="93" w:line="264" w:lineRule="auto"/>
              <w:ind w:left="686" w:right="458"/>
              <w:jc w:val="both"/>
            </w:pPr>
          </w:p>
          <w:p w14:paraId="5868D51B" w14:textId="77777777" w:rsidR="007C1EC5" w:rsidRDefault="007C1EC5" w:rsidP="007C1EC5">
            <w:pPr>
              <w:pStyle w:val="TableParagraph"/>
              <w:tabs>
                <w:tab w:val="left" w:pos="685"/>
                <w:tab w:val="left" w:pos="686"/>
              </w:tabs>
              <w:spacing w:before="93" w:line="264" w:lineRule="auto"/>
              <w:ind w:left="686" w:right="458"/>
              <w:jc w:val="both"/>
            </w:pPr>
          </w:p>
          <w:p w14:paraId="2F7D8175" w14:textId="77777777" w:rsidR="007C1EC5" w:rsidRDefault="007C1EC5" w:rsidP="007C1EC5">
            <w:pPr>
              <w:pStyle w:val="TableParagraph"/>
              <w:tabs>
                <w:tab w:val="left" w:pos="685"/>
                <w:tab w:val="left" w:pos="686"/>
              </w:tabs>
              <w:spacing w:before="93" w:line="264" w:lineRule="auto"/>
              <w:ind w:left="686" w:right="458"/>
              <w:jc w:val="both"/>
            </w:pPr>
          </w:p>
          <w:p w14:paraId="26603CB2" w14:textId="77777777" w:rsidR="007C1EC5" w:rsidRDefault="007C1EC5" w:rsidP="007C1EC5">
            <w:pPr>
              <w:pStyle w:val="TableParagraph"/>
              <w:tabs>
                <w:tab w:val="left" w:pos="685"/>
                <w:tab w:val="left" w:pos="686"/>
              </w:tabs>
              <w:spacing w:before="93" w:line="264" w:lineRule="auto"/>
              <w:ind w:left="686" w:right="458"/>
              <w:jc w:val="both"/>
            </w:pPr>
          </w:p>
          <w:p w14:paraId="480CF29B" w14:textId="77777777" w:rsidR="007C1EC5" w:rsidRDefault="007C1EC5" w:rsidP="007C1EC5">
            <w:pPr>
              <w:pStyle w:val="TableParagraph"/>
              <w:tabs>
                <w:tab w:val="left" w:pos="685"/>
                <w:tab w:val="left" w:pos="686"/>
              </w:tabs>
              <w:spacing w:before="93" w:line="264" w:lineRule="auto"/>
              <w:ind w:left="686" w:right="458"/>
              <w:jc w:val="both"/>
            </w:pPr>
          </w:p>
          <w:p w14:paraId="6D3A1E05" w14:textId="77777777" w:rsidR="007C1EC5" w:rsidRDefault="007C1EC5" w:rsidP="007C1EC5">
            <w:pPr>
              <w:pStyle w:val="TableParagraph"/>
              <w:tabs>
                <w:tab w:val="left" w:pos="685"/>
                <w:tab w:val="left" w:pos="686"/>
              </w:tabs>
              <w:spacing w:before="93" w:line="264" w:lineRule="auto"/>
              <w:ind w:left="0" w:right="458"/>
              <w:jc w:val="both"/>
            </w:pPr>
          </w:p>
          <w:p w14:paraId="3B79C7F6" w14:textId="3F27998A" w:rsidR="007C1EC5" w:rsidRPr="00B61C40" w:rsidRDefault="007C1EC5" w:rsidP="007C1EC5">
            <w:pPr>
              <w:pStyle w:val="TableParagraph"/>
              <w:tabs>
                <w:tab w:val="left" w:pos="685"/>
                <w:tab w:val="left" w:pos="686"/>
              </w:tabs>
              <w:spacing w:before="93" w:line="264" w:lineRule="auto"/>
              <w:ind w:left="0" w:right="458"/>
              <w:jc w:val="both"/>
            </w:pPr>
          </w:p>
        </w:tc>
        <w:tc>
          <w:tcPr>
            <w:tcW w:w="1134" w:type="dxa"/>
            <w:shd w:val="clear" w:color="auto" w:fill="D9E1F3"/>
          </w:tcPr>
          <w:p w14:paraId="49F90401" w14:textId="77777777" w:rsidR="005B0C9A" w:rsidRPr="00B61C40" w:rsidRDefault="005B0C9A" w:rsidP="00056799">
            <w:pPr>
              <w:pStyle w:val="TableParagraph"/>
              <w:ind w:left="8"/>
              <w:jc w:val="both"/>
            </w:pPr>
            <w:r w:rsidRPr="00B61C40">
              <w:t>7</w:t>
            </w:r>
          </w:p>
        </w:tc>
        <w:tc>
          <w:tcPr>
            <w:tcW w:w="993" w:type="dxa"/>
            <w:shd w:val="clear" w:color="auto" w:fill="D9E1F3"/>
          </w:tcPr>
          <w:p w14:paraId="711B79D2" w14:textId="7B86A80F" w:rsidR="005B0C9A" w:rsidRPr="00B61C40" w:rsidRDefault="00346F95" w:rsidP="00056799">
            <w:pPr>
              <w:pStyle w:val="TableParagraph"/>
              <w:ind w:left="148" w:right="137"/>
              <w:jc w:val="both"/>
            </w:pPr>
            <w:hyperlink w:anchor="_bookmark86" w:history="1">
              <w:r w:rsidR="005B0C9A" w:rsidRPr="00B61C40">
                <w:t>104</w:t>
              </w:r>
            </w:hyperlink>
          </w:p>
        </w:tc>
      </w:tr>
      <w:tr w:rsidR="007C1EC5" w:rsidRPr="00B61C40" w14:paraId="2579E66A" w14:textId="77777777" w:rsidTr="00FB408E">
        <w:trPr>
          <w:trHeight w:val="292"/>
        </w:trPr>
        <w:tc>
          <w:tcPr>
            <w:tcW w:w="8505" w:type="dxa"/>
            <w:gridSpan w:val="2"/>
            <w:vMerge w:val="restart"/>
            <w:shd w:val="clear" w:color="auto" w:fill="D9D9D9"/>
          </w:tcPr>
          <w:p w14:paraId="380CECBA" w14:textId="77777777" w:rsidR="007C1EC5" w:rsidRPr="00B61C40" w:rsidRDefault="007C1EC5" w:rsidP="00FB408E">
            <w:pPr>
              <w:pStyle w:val="TableParagraph"/>
              <w:spacing w:before="172"/>
              <w:ind w:left="107"/>
              <w:jc w:val="both"/>
            </w:pPr>
            <w:bookmarkStart w:id="8" w:name="_Hlk115273909"/>
            <w:r w:rsidRPr="00B61C40">
              <w:rPr>
                <w:color w:val="2D74B5"/>
              </w:rPr>
              <w:lastRenderedPageBreak/>
              <w:t>Recommendation</w:t>
            </w:r>
          </w:p>
        </w:tc>
        <w:tc>
          <w:tcPr>
            <w:tcW w:w="2127" w:type="dxa"/>
            <w:gridSpan w:val="2"/>
            <w:shd w:val="clear" w:color="auto" w:fill="D9D9D9"/>
          </w:tcPr>
          <w:p w14:paraId="62E27A47" w14:textId="77777777" w:rsidR="007C1EC5" w:rsidRPr="00B61C40" w:rsidRDefault="007C1EC5"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7C1EC5" w:rsidRPr="00B61C40" w14:paraId="0F90C022" w14:textId="77777777" w:rsidTr="00FB408E">
        <w:trPr>
          <w:trHeight w:val="292"/>
        </w:trPr>
        <w:tc>
          <w:tcPr>
            <w:tcW w:w="8505" w:type="dxa"/>
            <w:gridSpan w:val="2"/>
            <w:vMerge/>
            <w:tcBorders>
              <w:top w:val="nil"/>
            </w:tcBorders>
            <w:shd w:val="clear" w:color="auto" w:fill="D9D9D9"/>
          </w:tcPr>
          <w:p w14:paraId="50892435" w14:textId="77777777" w:rsidR="007C1EC5" w:rsidRPr="00B61C40" w:rsidRDefault="007C1EC5" w:rsidP="00FB408E">
            <w:pPr>
              <w:jc w:val="both"/>
              <w:rPr>
                <w:rFonts w:ascii="Arial" w:hAnsi="Arial" w:cs="Arial"/>
                <w:sz w:val="22"/>
                <w:szCs w:val="22"/>
              </w:rPr>
            </w:pPr>
          </w:p>
        </w:tc>
        <w:tc>
          <w:tcPr>
            <w:tcW w:w="1134" w:type="dxa"/>
            <w:shd w:val="clear" w:color="auto" w:fill="D9D9D9"/>
          </w:tcPr>
          <w:p w14:paraId="383EEBD5" w14:textId="77777777" w:rsidR="007C1EC5" w:rsidRPr="00B61C40" w:rsidRDefault="007C1EC5"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60EA1767" w14:textId="77777777" w:rsidR="007C1EC5" w:rsidRPr="00B61C40" w:rsidRDefault="007C1EC5" w:rsidP="00FB408E">
            <w:pPr>
              <w:pStyle w:val="TableParagraph"/>
              <w:spacing w:before="21" w:line="251" w:lineRule="exact"/>
              <w:ind w:left="148" w:right="139"/>
              <w:jc w:val="both"/>
            </w:pPr>
            <w:r w:rsidRPr="00B61C40">
              <w:rPr>
                <w:color w:val="2D74B5"/>
              </w:rPr>
              <w:t>Page</w:t>
            </w:r>
          </w:p>
        </w:tc>
      </w:tr>
      <w:bookmarkEnd w:id="8"/>
      <w:tr w:rsidR="005B0C9A" w:rsidRPr="00B61C40" w14:paraId="3B3586A5" w14:textId="77777777" w:rsidTr="007F68B4">
        <w:trPr>
          <w:trHeight w:val="2920"/>
        </w:trPr>
        <w:tc>
          <w:tcPr>
            <w:tcW w:w="1529" w:type="dxa"/>
            <w:shd w:val="clear" w:color="auto" w:fill="D9E1F3"/>
          </w:tcPr>
          <w:p w14:paraId="6E9A3393" w14:textId="77777777" w:rsidR="005B0C9A" w:rsidRPr="00B61C40" w:rsidRDefault="005B0C9A" w:rsidP="00056799">
            <w:pPr>
              <w:pStyle w:val="TableParagraph"/>
              <w:spacing w:before="129"/>
              <w:ind w:left="140" w:right="131"/>
              <w:jc w:val="both"/>
            </w:pPr>
            <w:r w:rsidRPr="00B61C40">
              <w:t>31</w:t>
            </w:r>
          </w:p>
        </w:tc>
        <w:tc>
          <w:tcPr>
            <w:tcW w:w="6976" w:type="dxa"/>
            <w:shd w:val="clear" w:color="auto" w:fill="D9E1F3"/>
          </w:tcPr>
          <w:p w14:paraId="2CB97FB2" w14:textId="77777777" w:rsidR="005B0C9A" w:rsidRPr="00B61C40" w:rsidRDefault="005B0C9A" w:rsidP="00056799">
            <w:pPr>
              <w:pStyle w:val="TableParagraph"/>
              <w:numPr>
                <w:ilvl w:val="0"/>
                <w:numId w:val="22"/>
              </w:numPr>
              <w:tabs>
                <w:tab w:val="left" w:pos="685"/>
                <w:tab w:val="left" w:pos="686"/>
              </w:tabs>
              <w:spacing w:before="95" w:line="264" w:lineRule="auto"/>
              <w:ind w:right="189"/>
              <w:jc w:val="both"/>
            </w:pPr>
            <w:r w:rsidRPr="00B61C40">
              <w:t>Include, in the Terms of Reference for the State Fire Emergency</w:t>
            </w:r>
            <w:r w:rsidRPr="00B61C40">
              <w:rPr>
                <w:spacing w:val="1"/>
              </w:rPr>
              <w:t xml:space="preserve"> </w:t>
            </w:r>
            <w:r w:rsidRPr="00B61C40">
              <w:t>Management Sub-Committee, provision for the establishment of Fire</w:t>
            </w:r>
            <w:r w:rsidRPr="00B61C40">
              <w:rPr>
                <w:spacing w:val="1"/>
              </w:rPr>
              <w:t xml:space="preserve"> </w:t>
            </w:r>
            <w:r w:rsidRPr="00B61C40">
              <w:t>and Emergency Risk Area Committees (FERAC), including the number</w:t>
            </w:r>
            <w:r w:rsidRPr="00B61C40">
              <w:rPr>
                <w:spacing w:val="-59"/>
              </w:rPr>
              <w:t xml:space="preserve"> </w:t>
            </w:r>
            <w:r w:rsidRPr="00B61C40">
              <w:t>and</w:t>
            </w:r>
            <w:r w:rsidRPr="00B61C40">
              <w:rPr>
                <w:spacing w:val="-1"/>
              </w:rPr>
              <w:t xml:space="preserve"> </w:t>
            </w:r>
            <w:r w:rsidRPr="00B61C40">
              <w:t>geographical</w:t>
            </w:r>
            <w:r w:rsidRPr="00B61C40">
              <w:rPr>
                <w:spacing w:val="-1"/>
              </w:rPr>
              <w:t xml:space="preserve"> </w:t>
            </w:r>
            <w:r w:rsidRPr="00B61C40">
              <w:t>boundaries</w:t>
            </w:r>
            <w:r w:rsidRPr="00B61C40">
              <w:rPr>
                <w:spacing w:val="1"/>
              </w:rPr>
              <w:t xml:space="preserve"> </w:t>
            </w:r>
            <w:r w:rsidRPr="00B61C40">
              <w:t>of</w:t>
            </w:r>
            <w:r w:rsidRPr="00B61C40">
              <w:rPr>
                <w:spacing w:val="-1"/>
              </w:rPr>
              <w:t xml:space="preserve"> </w:t>
            </w:r>
            <w:r w:rsidRPr="00B61C40">
              <w:t>these committees.</w:t>
            </w:r>
          </w:p>
          <w:p w14:paraId="63649BB7" w14:textId="77777777" w:rsidR="005B0C9A" w:rsidRPr="00B61C40" w:rsidRDefault="005B0C9A" w:rsidP="00056799">
            <w:pPr>
              <w:pStyle w:val="TableParagraph"/>
              <w:numPr>
                <w:ilvl w:val="0"/>
                <w:numId w:val="22"/>
              </w:numPr>
              <w:tabs>
                <w:tab w:val="left" w:pos="685"/>
                <w:tab w:val="left" w:pos="686"/>
              </w:tabs>
              <w:spacing w:before="69" w:line="264" w:lineRule="auto"/>
              <w:ind w:right="114"/>
              <w:jc w:val="both"/>
            </w:pPr>
            <w:r w:rsidRPr="00B61C40">
              <w:t>Enhance community engagement through community representation on</w:t>
            </w:r>
            <w:r w:rsidRPr="00B61C40">
              <w:rPr>
                <w:spacing w:val="-59"/>
              </w:rPr>
              <w:t xml:space="preserve"> </w:t>
            </w:r>
            <w:r w:rsidRPr="00B61C40">
              <w:t>FERACs,</w:t>
            </w:r>
            <w:r w:rsidRPr="00B61C40">
              <w:rPr>
                <w:spacing w:val="1"/>
              </w:rPr>
              <w:t xml:space="preserve"> </w:t>
            </w:r>
            <w:r w:rsidRPr="00B61C40">
              <w:t>without</w:t>
            </w:r>
            <w:r w:rsidRPr="00B61C40">
              <w:rPr>
                <w:spacing w:val="-2"/>
              </w:rPr>
              <w:t xml:space="preserve"> </w:t>
            </w:r>
            <w:r w:rsidRPr="00B61C40">
              <w:t>increasing numbers on</w:t>
            </w:r>
            <w:r w:rsidRPr="00B61C40">
              <w:rPr>
                <w:spacing w:val="-2"/>
              </w:rPr>
              <w:t xml:space="preserve"> </w:t>
            </w:r>
            <w:r w:rsidRPr="00B61C40">
              <w:t>these</w:t>
            </w:r>
            <w:r w:rsidRPr="00B61C40">
              <w:rPr>
                <w:spacing w:val="-2"/>
              </w:rPr>
              <w:t xml:space="preserve"> </w:t>
            </w:r>
            <w:r w:rsidRPr="00B61C40">
              <w:t>committees.</w:t>
            </w:r>
          </w:p>
          <w:p w14:paraId="25B6A355" w14:textId="77777777" w:rsidR="005B0C9A" w:rsidRPr="00B61C40" w:rsidRDefault="005B0C9A" w:rsidP="00056799">
            <w:pPr>
              <w:pStyle w:val="TableParagraph"/>
              <w:numPr>
                <w:ilvl w:val="0"/>
                <w:numId w:val="22"/>
              </w:numPr>
              <w:tabs>
                <w:tab w:val="left" w:pos="685"/>
                <w:tab w:val="left" w:pos="686"/>
              </w:tabs>
              <w:spacing w:before="66"/>
              <w:jc w:val="both"/>
            </w:pPr>
            <w:r w:rsidRPr="00B61C40">
              <w:t>Remove</w:t>
            </w:r>
            <w:r w:rsidRPr="00B61C40">
              <w:rPr>
                <w:spacing w:val="-3"/>
              </w:rPr>
              <w:t xml:space="preserve"> </w:t>
            </w:r>
            <w:r w:rsidRPr="00B61C40">
              <w:t>the</w:t>
            </w:r>
            <w:r w:rsidRPr="00B61C40">
              <w:rPr>
                <w:spacing w:val="-4"/>
              </w:rPr>
              <w:t xml:space="preserve"> </w:t>
            </w:r>
            <w:r w:rsidRPr="00B61C40">
              <w:t>requirement</w:t>
            </w:r>
            <w:r w:rsidRPr="00B61C40">
              <w:rPr>
                <w:spacing w:val="-2"/>
              </w:rPr>
              <w:t xml:space="preserve"> </w:t>
            </w:r>
            <w:r w:rsidRPr="00B61C40">
              <w:t>to</w:t>
            </w:r>
            <w:r w:rsidRPr="00B61C40">
              <w:rPr>
                <w:spacing w:val="-3"/>
              </w:rPr>
              <w:t xml:space="preserve"> </w:t>
            </w:r>
            <w:r w:rsidRPr="00B61C40">
              <w:t>Gazette</w:t>
            </w:r>
            <w:r w:rsidRPr="00B61C40">
              <w:rPr>
                <w:spacing w:val="-1"/>
              </w:rPr>
              <w:t xml:space="preserve"> </w:t>
            </w:r>
            <w:r w:rsidRPr="00B61C40">
              <w:t>geographical</w:t>
            </w:r>
            <w:r w:rsidRPr="00B61C40">
              <w:rPr>
                <w:spacing w:val="-2"/>
              </w:rPr>
              <w:t xml:space="preserve"> </w:t>
            </w:r>
            <w:r w:rsidRPr="00B61C40">
              <w:t>boundaries.</w:t>
            </w:r>
          </w:p>
          <w:p w14:paraId="5B11D23B" w14:textId="77777777" w:rsidR="005B0C9A" w:rsidRDefault="005B0C9A" w:rsidP="00056799">
            <w:pPr>
              <w:pStyle w:val="TableParagraph"/>
              <w:numPr>
                <w:ilvl w:val="0"/>
                <w:numId w:val="22"/>
              </w:numPr>
              <w:tabs>
                <w:tab w:val="left" w:pos="685"/>
                <w:tab w:val="left" w:pos="686"/>
              </w:tabs>
              <w:spacing w:before="88" w:line="264" w:lineRule="auto"/>
              <w:ind w:right="618"/>
              <w:jc w:val="both"/>
            </w:pPr>
            <w:r w:rsidRPr="00B61C40">
              <w:t>Continue to identify synergies between FERACs and Regional and</w:t>
            </w:r>
            <w:r w:rsidRPr="00B61C40">
              <w:rPr>
                <w:spacing w:val="-59"/>
              </w:rPr>
              <w:t xml:space="preserve"> </w:t>
            </w:r>
            <w:r w:rsidRPr="00B61C40">
              <w:t>Municipal</w:t>
            </w:r>
            <w:r w:rsidRPr="00B61C40">
              <w:rPr>
                <w:spacing w:val="-1"/>
              </w:rPr>
              <w:t xml:space="preserve"> </w:t>
            </w:r>
            <w:r w:rsidRPr="00B61C40">
              <w:t>Emergency</w:t>
            </w:r>
            <w:r w:rsidRPr="00B61C40">
              <w:rPr>
                <w:spacing w:val="-2"/>
              </w:rPr>
              <w:t xml:space="preserve"> </w:t>
            </w:r>
            <w:r w:rsidRPr="00B61C40">
              <w:t>Management</w:t>
            </w:r>
            <w:r w:rsidRPr="00B61C40">
              <w:rPr>
                <w:spacing w:val="-1"/>
              </w:rPr>
              <w:t xml:space="preserve"> </w:t>
            </w:r>
            <w:r w:rsidRPr="00B61C40">
              <w:t>Committees.</w:t>
            </w:r>
          </w:p>
          <w:p w14:paraId="6AA4C446" w14:textId="55BB1B0B" w:rsidR="007C1EC5" w:rsidRPr="00B61C40" w:rsidRDefault="007C1EC5" w:rsidP="00056799">
            <w:pPr>
              <w:pStyle w:val="TableParagraph"/>
              <w:numPr>
                <w:ilvl w:val="0"/>
                <w:numId w:val="22"/>
              </w:numPr>
              <w:tabs>
                <w:tab w:val="left" w:pos="685"/>
                <w:tab w:val="left" w:pos="686"/>
              </w:tabs>
              <w:spacing w:before="88" w:line="264" w:lineRule="auto"/>
              <w:ind w:right="618"/>
              <w:jc w:val="both"/>
            </w:pPr>
            <w:r w:rsidRPr="00B61C40">
              <w:t>Note that these arrangements do not require legislative support and</w:t>
            </w:r>
            <w:r w:rsidRPr="00B61C40">
              <w:rPr>
                <w:spacing w:val="-59"/>
              </w:rPr>
              <w:t xml:space="preserve"> </w:t>
            </w:r>
            <w:r w:rsidRPr="00B61C40">
              <w:t>could instead be promulgated under a Head of Power and detailed,</w:t>
            </w:r>
            <w:r w:rsidRPr="00B61C40">
              <w:rPr>
                <w:spacing w:val="-59"/>
              </w:rPr>
              <w:t xml:space="preserve"> </w:t>
            </w:r>
            <w:r w:rsidRPr="00B61C40">
              <w:t>where necessary, in doctrine/Tasmanian Emergency Management</w:t>
            </w:r>
            <w:r w:rsidRPr="00B61C40">
              <w:rPr>
                <w:spacing w:val="1"/>
              </w:rPr>
              <w:t xml:space="preserve"> </w:t>
            </w:r>
            <w:r w:rsidRPr="00B61C40">
              <w:t>Arrangements</w:t>
            </w:r>
            <w:r w:rsidRPr="00B61C40">
              <w:rPr>
                <w:spacing w:val="-3"/>
              </w:rPr>
              <w:t xml:space="preserve"> </w:t>
            </w:r>
            <w:r w:rsidRPr="00B61C40">
              <w:t>(TEMA).</w:t>
            </w:r>
          </w:p>
        </w:tc>
        <w:tc>
          <w:tcPr>
            <w:tcW w:w="1134" w:type="dxa"/>
            <w:shd w:val="clear" w:color="auto" w:fill="D9E1F3"/>
          </w:tcPr>
          <w:p w14:paraId="4E0AADCF" w14:textId="77777777" w:rsidR="005B0C9A" w:rsidRPr="00B61C40" w:rsidRDefault="005B0C9A" w:rsidP="00056799">
            <w:pPr>
              <w:pStyle w:val="TableParagraph"/>
              <w:spacing w:before="129"/>
              <w:ind w:left="8"/>
              <w:jc w:val="both"/>
            </w:pPr>
            <w:r w:rsidRPr="00B61C40">
              <w:t>7</w:t>
            </w:r>
          </w:p>
        </w:tc>
        <w:tc>
          <w:tcPr>
            <w:tcW w:w="993" w:type="dxa"/>
            <w:shd w:val="clear" w:color="auto" w:fill="D9E1F3"/>
          </w:tcPr>
          <w:p w14:paraId="0ABACC1F" w14:textId="77EA4600" w:rsidR="005B0C9A" w:rsidRPr="00B61C40" w:rsidRDefault="00346F95" w:rsidP="00056799">
            <w:pPr>
              <w:pStyle w:val="TableParagraph"/>
              <w:spacing w:before="129"/>
              <w:ind w:left="148" w:right="137"/>
              <w:jc w:val="both"/>
            </w:pPr>
            <w:hyperlink w:anchor="_bookmark88" w:history="1">
              <w:r w:rsidR="005B0C9A" w:rsidRPr="00B61C40">
                <w:t>107</w:t>
              </w:r>
            </w:hyperlink>
          </w:p>
        </w:tc>
      </w:tr>
      <w:tr w:rsidR="007C1EC5" w:rsidRPr="00B61C40" w14:paraId="6CD7BB60" w14:textId="77777777" w:rsidTr="00E0652F">
        <w:trPr>
          <w:trHeight w:val="6254"/>
        </w:trPr>
        <w:tc>
          <w:tcPr>
            <w:tcW w:w="1529" w:type="dxa"/>
            <w:shd w:val="clear" w:color="auto" w:fill="D9E1F3"/>
          </w:tcPr>
          <w:p w14:paraId="4319A264" w14:textId="77777777" w:rsidR="007C1EC5" w:rsidRPr="00B61C40" w:rsidRDefault="007C1EC5" w:rsidP="00056799">
            <w:pPr>
              <w:pStyle w:val="TableParagraph"/>
              <w:spacing w:before="129"/>
              <w:ind w:left="140" w:right="131"/>
              <w:jc w:val="both"/>
            </w:pPr>
            <w:r w:rsidRPr="00B61C40">
              <w:t>32</w:t>
            </w:r>
          </w:p>
        </w:tc>
        <w:tc>
          <w:tcPr>
            <w:tcW w:w="6976" w:type="dxa"/>
            <w:shd w:val="clear" w:color="auto" w:fill="D9E1F3"/>
          </w:tcPr>
          <w:p w14:paraId="4977A54D" w14:textId="77777777" w:rsidR="007C1EC5" w:rsidRPr="00B61C40" w:rsidRDefault="007C1EC5" w:rsidP="00056799">
            <w:pPr>
              <w:pStyle w:val="TableParagraph"/>
              <w:numPr>
                <w:ilvl w:val="0"/>
                <w:numId w:val="20"/>
              </w:numPr>
              <w:tabs>
                <w:tab w:val="left" w:pos="685"/>
                <w:tab w:val="left" w:pos="686"/>
              </w:tabs>
              <w:spacing w:before="95"/>
              <w:jc w:val="both"/>
            </w:pPr>
            <w:r w:rsidRPr="00B61C40">
              <w:t>Consider,</w:t>
            </w:r>
            <w:r w:rsidRPr="00B61C40">
              <w:rPr>
                <w:spacing w:val="-1"/>
              </w:rPr>
              <w:t xml:space="preserve"> </w:t>
            </w:r>
            <w:r w:rsidRPr="00B61C40">
              <w:t>as</w:t>
            </w:r>
            <w:r w:rsidRPr="00B61C40">
              <w:rPr>
                <w:spacing w:val="-4"/>
              </w:rPr>
              <w:t xml:space="preserve"> </w:t>
            </w:r>
            <w:r w:rsidRPr="00B61C40">
              <w:t>an</w:t>
            </w:r>
            <w:r w:rsidRPr="00B61C40">
              <w:rPr>
                <w:spacing w:val="-2"/>
              </w:rPr>
              <w:t xml:space="preserve"> </w:t>
            </w:r>
            <w:r w:rsidRPr="00B61C40">
              <w:t>alternative</w:t>
            </w:r>
            <w:r w:rsidRPr="00B61C40">
              <w:rPr>
                <w:spacing w:val="-2"/>
              </w:rPr>
              <w:t xml:space="preserve"> </w:t>
            </w:r>
            <w:r w:rsidRPr="00B61C40">
              <w:t>to, or</w:t>
            </w:r>
            <w:r w:rsidRPr="00B61C40">
              <w:rPr>
                <w:spacing w:val="-1"/>
              </w:rPr>
              <w:t xml:space="preserve"> </w:t>
            </w:r>
            <w:r w:rsidRPr="00B61C40">
              <w:t>in</w:t>
            </w:r>
            <w:r w:rsidRPr="00B61C40">
              <w:rPr>
                <w:spacing w:val="-4"/>
              </w:rPr>
              <w:t xml:space="preserve"> </w:t>
            </w:r>
            <w:r w:rsidRPr="00B61C40">
              <w:t>addition</w:t>
            </w:r>
            <w:r w:rsidRPr="00B61C40">
              <w:rPr>
                <w:spacing w:val="-2"/>
              </w:rPr>
              <w:t xml:space="preserve"> </w:t>
            </w:r>
            <w:r w:rsidRPr="00B61C40">
              <w:t>to,</w:t>
            </w:r>
            <w:r w:rsidRPr="00B61C40">
              <w:rPr>
                <w:spacing w:val="1"/>
              </w:rPr>
              <w:t xml:space="preserve"> </w:t>
            </w:r>
            <w:r w:rsidRPr="00B61C40">
              <w:t>Recommendation</w:t>
            </w:r>
            <w:r w:rsidRPr="00B61C40">
              <w:rPr>
                <w:spacing w:val="-1"/>
              </w:rPr>
              <w:t xml:space="preserve"> </w:t>
            </w:r>
            <w:r w:rsidRPr="00B61C40">
              <w:t>31:</w:t>
            </w:r>
          </w:p>
          <w:p w14:paraId="0E0D660C" w14:textId="77777777" w:rsidR="007C1EC5" w:rsidRPr="00B61C40" w:rsidRDefault="007C1EC5" w:rsidP="00056799">
            <w:pPr>
              <w:pStyle w:val="TableParagraph"/>
              <w:numPr>
                <w:ilvl w:val="1"/>
                <w:numId w:val="20"/>
              </w:numPr>
              <w:tabs>
                <w:tab w:val="left" w:pos="1270"/>
              </w:tabs>
              <w:spacing w:before="105" w:line="261" w:lineRule="auto"/>
              <w:ind w:right="230"/>
              <w:jc w:val="both"/>
            </w:pPr>
            <w:r w:rsidRPr="00B61C40">
              <w:t>having the secretariat function currently fulfilled by SES</w:t>
            </w:r>
            <w:r w:rsidRPr="00B61C40">
              <w:rPr>
                <w:spacing w:val="1"/>
              </w:rPr>
              <w:t xml:space="preserve"> </w:t>
            </w:r>
            <w:r w:rsidRPr="00B61C40">
              <w:t>performed instead by relevant administrative personnel within an</w:t>
            </w:r>
            <w:r w:rsidRPr="00B61C40">
              <w:rPr>
                <w:spacing w:val="-59"/>
              </w:rPr>
              <w:t xml:space="preserve"> </w:t>
            </w:r>
            <w:r w:rsidRPr="00B61C40">
              <w:t>agency with primary responsibility for statewide emergency</w:t>
            </w:r>
            <w:r w:rsidRPr="00B61C40">
              <w:rPr>
                <w:spacing w:val="1"/>
              </w:rPr>
              <w:t xml:space="preserve"> </w:t>
            </w:r>
            <w:r w:rsidRPr="00B61C40">
              <w:t>management, such as the Department of Premier and Cabinet</w:t>
            </w:r>
            <w:r w:rsidRPr="00B61C40">
              <w:rPr>
                <w:spacing w:val="1"/>
              </w:rPr>
              <w:t xml:space="preserve"> </w:t>
            </w:r>
            <w:r w:rsidRPr="00B61C40">
              <w:t>(DPAC) or the Department of Police, Fire and Emergency</w:t>
            </w:r>
            <w:r w:rsidRPr="00B61C40">
              <w:rPr>
                <w:spacing w:val="1"/>
              </w:rPr>
              <w:t xml:space="preserve"> </w:t>
            </w:r>
            <w:r w:rsidRPr="00B61C40">
              <w:t>Management</w:t>
            </w:r>
            <w:r w:rsidRPr="00B61C40">
              <w:rPr>
                <w:spacing w:val="-2"/>
              </w:rPr>
              <w:t xml:space="preserve"> </w:t>
            </w:r>
            <w:r w:rsidRPr="00B61C40">
              <w:t>(DPFEM)</w:t>
            </w:r>
          </w:p>
          <w:p w14:paraId="2EB7B2B1" w14:textId="77777777" w:rsidR="007C1EC5" w:rsidRDefault="007C1EC5" w:rsidP="008021AA">
            <w:pPr>
              <w:pStyle w:val="TableParagraph"/>
              <w:numPr>
                <w:ilvl w:val="1"/>
                <w:numId w:val="20"/>
              </w:numPr>
              <w:tabs>
                <w:tab w:val="left" w:pos="1270"/>
              </w:tabs>
              <w:spacing w:before="86" w:line="256" w:lineRule="auto"/>
              <w:ind w:right="106"/>
              <w:jc w:val="both"/>
            </w:pPr>
            <w:r w:rsidRPr="00B61C40">
              <w:t>transferring SES’s Emergency Management Unit (EMU) functions</w:t>
            </w:r>
            <w:r w:rsidRPr="00B61C40">
              <w:rPr>
                <w:spacing w:val="-59"/>
              </w:rPr>
              <w:t xml:space="preserve"> </w:t>
            </w:r>
            <w:r w:rsidRPr="00B61C40">
              <w:t>associated with statewide risk assessments, emergency planning,</w:t>
            </w:r>
            <w:r w:rsidRPr="00B61C40">
              <w:rPr>
                <w:spacing w:val="-59"/>
              </w:rPr>
              <w:t xml:space="preserve"> </w:t>
            </w:r>
            <w:r w:rsidRPr="00B61C40">
              <w:t>and</w:t>
            </w:r>
            <w:r w:rsidRPr="00B61C40">
              <w:rPr>
                <w:spacing w:val="-2"/>
              </w:rPr>
              <w:t xml:space="preserve"> </w:t>
            </w:r>
            <w:r w:rsidRPr="00B61C40">
              <w:t>emergency</w:t>
            </w:r>
            <w:r w:rsidRPr="00B61C40">
              <w:rPr>
                <w:spacing w:val="-3"/>
              </w:rPr>
              <w:t xml:space="preserve"> </w:t>
            </w:r>
            <w:r w:rsidRPr="00B61C40">
              <w:t>management</w:t>
            </w:r>
            <w:r w:rsidRPr="00B61C40">
              <w:rPr>
                <w:spacing w:val="-2"/>
              </w:rPr>
              <w:t xml:space="preserve"> </w:t>
            </w:r>
            <w:r w:rsidRPr="00B61C40">
              <w:t>policy</w:t>
            </w:r>
            <w:r w:rsidRPr="00B61C40">
              <w:rPr>
                <w:spacing w:val="-1"/>
              </w:rPr>
              <w:t xml:space="preserve"> </w:t>
            </w:r>
            <w:r w:rsidRPr="00B61C40">
              <w:t>to</w:t>
            </w:r>
            <w:r w:rsidRPr="00B61C40">
              <w:rPr>
                <w:spacing w:val="-3"/>
              </w:rPr>
              <w:t xml:space="preserve"> </w:t>
            </w:r>
            <w:r w:rsidRPr="00B61C40">
              <w:t>either DPAC</w:t>
            </w:r>
            <w:r w:rsidRPr="00B61C40">
              <w:rPr>
                <w:spacing w:val="-2"/>
              </w:rPr>
              <w:t xml:space="preserve"> </w:t>
            </w:r>
            <w:r w:rsidRPr="00B61C40">
              <w:t>or DPFEM.</w:t>
            </w:r>
          </w:p>
          <w:p w14:paraId="67D54052" w14:textId="77777777" w:rsidR="007C1EC5" w:rsidRDefault="007C1EC5" w:rsidP="007C1EC5">
            <w:pPr>
              <w:pStyle w:val="TableParagraph"/>
              <w:tabs>
                <w:tab w:val="left" w:pos="1270"/>
              </w:tabs>
              <w:spacing w:before="86" w:line="256" w:lineRule="auto"/>
              <w:ind w:right="106"/>
              <w:jc w:val="both"/>
            </w:pPr>
          </w:p>
          <w:p w14:paraId="6A18B041" w14:textId="77777777" w:rsidR="007C1EC5" w:rsidRDefault="007C1EC5" w:rsidP="007C1EC5">
            <w:pPr>
              <w:pStyle w:val="TableParagraph"/>
              <w:tabs>
                <w:tab w:val="left" w:pos="1270"/>
              </w:tabs>
              <w:spacing w:before="86" w:line="256" w:lineRule="auto"/>
              <w:ind w:right="106"/>
              <w:jc w:val="both"/>
            </w:pPr>
          </w:p>
          <w:p w14:paraId="283C8EB4" w14:textId="77777777" w:rsidR="007C1EC5" w:rsidRDefault="007C1EC5" w:rsidP="007C1EC5">
            <w:pPr>
              <w:pStyle w:val="TableParagraph"/>
              <w:tabs>
                <w:tab w:val="left" w:pos="1270"/>
              </w:tabs>
              <w:spacing w:before="86" w:line="256" w:lineRule="auto"/>
              <w:ind w:right="106"/>
              <w:jc w:val="both"/>
            </w:pPr>
          </w:p>
          <w:p w14:paraId="20690C4C" w14:textId="77777777" w:rsidR="007C1EC5" w:rsidRDefault="007C1EC5" w:rsidP="007C1EC5">
            <w:pPr>
              <w:pStyle w:val="TableParagraph"/>
              <w:tabs>
                <w:tab w:val="left" w:pos="1270"/>
              </w:tabs>
              <w:spacing w:before="86" w:line="256" w:lineRule="auto"/>
              <w:ind w:right="106"/>
              <w:jc w:val="both"/>
            </w:pPr>
          </w:p>
          <w:p w14:paraId="7D59C496" w14:textId="77777777" w:rsidR="007C1EC5" w:rsidRDefault="007C1EC5" w:rsidP="007C1EC5">
            <w:pPr>
              <w:pStyle w:val="TableParagraph"/>
              <w:tabs>
                <w:tab w:val="left" w:pos="1270"/>
              </w:tabs>
              <w:spacing w:before="86" w:line="256" w:lineRule="auto"/>
              <w:ind w:right="106"/>
              <w:jc w:val="both"/>
            </w:pPr>
          </w:p>
          <w:p w14:paraId="2A5B1D22" w14:textId="77777777" w:rsidR="007C1EC5" w:rsidRDefault="007C1EC5" w:rsidP="007C1EC5">
            <w:pPr>
              <w:pStyle w:val="TableParagraph"/>
              <w:tabs>
                <w:tab w:val="left" w:pos="1270"/>
              </w:tabs>
              <w:spacing w:before="86" w:line="256" w:lineRule="auto"/>
              <w:ind w:right="106"/>
              <w:jc w:val="both"/>
            </w:pPr>
          </w:p>
          <w:p w14:paraId="42866356" w14:textId="77777777" w:rsidR="007C1EC5" w:rsidRDefault="007C1EC5" w:rsidP="007C1EC5">
            <w:pPr>
              <w:pStyle w:val="TableParagraph"/>
              <w:tabs>
                <w:tab w:val="left" w:pos="1270"/>
              </w:tabs>
              <w:spacing w:before="86" w:line="256" w:lineRule="auto"/>
              <w:ind w:right="106"/>
              <w:jc w:val="both"/>
            </w:pPr>
          </w:p>
          <w:p w14:paraId="15239A87" w14:textId="77777777" w:rsidR="007C1EC5" w:rsidRDefault="007C1EC5" w:rsidP="007C1EC5">
            <w:pPr>
              <w:pStyle w:val="TableParagraph"/>
              <w:tabs>
                <w:tab w:val="left" w:pos="1270"/>
              </w:tabs>
              <w:spacing w:before="86" w:line="256" w:lineRule="auto"/>
              <w:ind w:right="106"/>
              <w:jc w:val="both"/>
            </w:pPr>
          </w:p>
          <w:p w14:paraId="230B093B" w14:textId="77777777" w:rsidR="007C1EC5" w:rsidRDefault="007C1EC5" w:rsidP="007C1EC5">
            <w:pPr>
              <w:pStyle w:val="TableParagraph"/>
              <w:tabs>
                <w:tab w:val="left" w:pos="1270"/>
              </w:tabs>
              <w:spacing w:before="86" w:line="256" w:lineRule="auto"/>
              <w:ind w:right="106"/>
              <w:jc w:val="both"/>
            </w:pPr>
          </w:p>
          <w:p w14:paraId="0546A9E3" w14:textId="77777777" w:rsidR="007C1EC5" w:rsidRDefault="007C1EC5" w:rsidP="007C1EC5">
            <w:pPr>
              <w:pStyle w:val="TableParagraph"/>
              <w:tabs>
                <w:tab w:val="left" w:pos="1270"/>
              </w:tabs>
              <w:spacing w:before="86" w:line="256" w:lineRule="auto"/>
              <w:ind w:right="106"/>
              <w:jc w:val="both"/>
            </w:pPr>
          </w:p>
          <w:p w14:paraId="53507BAB" w14:textId="77777777" w:rsidR="007C1EC5" w:rsidRDefault="007C1EC5" w:rsidP="007C1EC5">
            <w:pPr>
              <w:pStyle w:val="TableParagraph"/>
              <w:tabs>
                <w:tab w:val="left" w:pos="1270"/>
              </w:tabs>
              <w:spacing w:before="86" w:line="256" w:lineRule="auto"/>
              <w:ind w:right="106"/>
              <w:jc w:val="both"/>
            </w:pPr>
          </w:p>
          <w:p w14:paraId="46D99CC9" w14:textId="77777777" w:rsidR="007C1EC5" w:rsidRDefault="007C1EC5" w:rsidP="007C1EC5">
            <w:pPr>
              <w:pStyle w:val="TableParagraph"/>
              <w:tabs>
                <w:tab w:val="left" w:pos="1270"/>
              </w:tabs>
              <w:spacing w:before="86" w:line="256" w:lineRule="auto"/>
              <w:ind w:right="106"/>
              <w:jc w:val="both"/>
            </w:pPr>
          </w:p>
          <w:p w14:paraId="3310A37E" w14:textId="2560A4C9" w:rsidR="007C1EC5" w:rsidRPr="00B61C40" w:rsidRDefault="007C1EC5" w:rsidP="007C1EC5">
            <w:pPr>
              <w:pStyle w:val="TableParagraph"/>
              <w:tabs>
                <w:tab w:val="left" w:pos="1270"/>
              </w:tabs>
              <w:spacing w:before="86" w:line="256" w:lineRule="auto"/>
              <w:ind w:left="0" w:right="106"/>
              <w:jc w:val="both"/>
            </w:pPr>
          </w:p>
        </w:tc>
        <w:tc>
          <w:tcPr>
            <w:tcW w:w="1134" w:type="dxa"/>
            <w:shd w:val="clear" w:color="auto" w:fill="D9E1F3"/>
          </w:tcPr>
          <w:p w14:paraId="205CD70B" w14:textId="77777777" w:rsidR="007C1EC5" w:rsidRPr="00B61C40" w:rsidRDefault="007C1EC5" w:rsidP="00056799">
            <w:pPr>
              <w:pStyle w:val="TableParagraph"/>
              <w:spacing w:before="129"/>
              <w:ind w:left="8"/>
              <w:jc w:val="both"/>
            </w:pPr>
            <w:r w:rsidRPr="00B61C40">
              <w:t>7</w:t>
            </w:r>
          </w:p>
        </w:tc>
        <w:tc>
          <w:tcPr>
            <w:tcW w:w="993" w:type="dxa"/>
            <w:shd w:val="clear" w:color="auto" w:fill="D9E1F3"/>
          </w:tcPr>
          <w:p w14:paraId="24B2724D" w14:textId="718C6642" w:rsidR="007C1EC5" w:rsidRPr="00B61C40" w:rsidRDefault="00346F95" w:rsidP="00056799">
            <w:pPr>
              <w:pStyle w:val="TableParagraph"/>
              <w:spacing w:before="129"/>
              <w:ind w:left="148" w:right="137"/>
              <w:jc w:val="both"/>
            </w:pPr>
            <w:hyperlink w:anchor="_bookmark90" w:history="1">
              <w:r w:rsidR="007C1EC5" w:rsidRPr="00B61C40">
                <w:t>109</w:t>
              </w:r>
            </w:hyperlink>
          </w:p>
        </w:tc>
      </w:tr>
      <w:tr w:rsidR="007C1EC5" w:rsidRPr="00B61C40" w14:paraId="6CCDDCF1" w14:textId="77777777" w:rsidTr="00FB408E">
        <w:trPr>
          <w:trHeight w:val="292"/>
        </w:trPr>
        <w:tc>
          <w:tcPr>
            <w:tcW w:w="8505" w:type="dxa"/>
            <w:gridSpan w:val="2"/>
            <w:vMerge w:val="restart"/>
            <w:shd w:val="clear" w:color="auto" w:fill="D9D9D9"/>
          </w:tcPr>
          <w:p w14:paraId="14C276E7" w14:textId="77777777" w:rsidR="007C1EC5" w:rsidRPr="00B61C40" w:rsidRDefault="007C1EC5" w:rsidP="00FB408E">
            <w:pPr>
              <w:pStyle w:val="TableParagraph"/>
              <w:spacing w:before="172"/>
              <w:ind w:left="107"/>
              <w:jc w:val="both"/>
            </w:pPr>
            <w:r w:rsidRPr="00B61C40">
              <w:rPr>
                <w:color w:val="2D74B5"/>
              </w:rPr>
              <w:lastRenderedPageBreak/>
              <w:t>Recommendation</w:t>
            </w:r>
          </w:p>
        </w:tc>
        <w:tc>
          <w:tcPr>
            <w:tcW w:w="2127" w:type="dxa"/>
            <w:gridSpan w:val="2"/>
            <w:shd w:val="clear" w:color="auto" w:fill="D9D9D9"/>
          </w:tcPr>
          <w:p w14:paraId="035847F9" w14:textId="77777777" w:rsidR="007C1EC5" w:rsidRPr="00B61C40" w:rsidRDefault="007C1EC5"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7C1EC5" w:rsidRPr="00B61C40" w14:paraId="45C024B6" w14:textId="77777777" w:rsidTr="00FB408E">
        <w:trPr>
          <w:trHeight w:val="292"/>
        </w:trPr>
        <w:tc>
          <w:tcPr>
            <w:tcW w:w="8505" w:type="dxa"/>
            <w:gridSpan w:val="2"/>
            <w:vMerge/>
            <w:tcBorders>
              <w:top w:val="nil"/>
            </w:tcBorders>
            <w:shd w:val="clear" w:color="auto" w:fill="D9D9D9"/>
          </w:tcPr>
          <w:p w14:paraId="30A20050" w14:textId="77777777" w:rsidR="007C1EC5" w:rsidRPr="00B61C40" w:rsidRDefault="007C1EC5" w:rsidP="00FB408E">
            <w:pPr>
              <w:jc w:val="both"/>
              <w:rPr>
                <w:rFonts w:ascii="Arial" w:hAnsi="Arial" w:cs="Arial"/>
                <w:sz w:val="22"/>
                <w:szCs w:val="22"/>
              </w:rPr>
            </w:pPr>
          </w:p>
        </w:tc>
        <w:tc>
          <w:tcPr>
            <w:tcW w:w="1134" w:type="dxa"/>
            <w:shd w:val="clear" w:color="auto" w:fill="D9D9D9"/>
          </w:tcPr>
          <w:p w14:paraId="51F2D328" w14:textId="77777777" w:rsidR="007C1EC5" w:rsidRPr="00B61C40" w:rsidRDefault="007C1EC5"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6B9B740E" w14:textId="77777777" w:rsidR="007C1EC5" w:rsidRPr="00B61C40" w:rsidRDefault="007C1EC5" w:rsidP="00FB408E">
            <w:pPr>
              <w:pStyle w:val="TableParagraph"/>
              <w:spacing w:before="21" w:line="251" w:lineRule="exact"/>
              <w:ind w:left="148" w:right="139"/>
              <w:jc w:val="both"/>
            </w:pPr>
            <w:r w:rsidRPr="00B61C40">
              <w:rPr>
                <w:color w:val="2D74B5"/>
              </w:rPr>
              <w:t>Page</w:t>
            </w:r>
          </w:p>
        </w:tc>
      </w:tr>
      <w:tr w:rsidR="005B0C9A" w:rsidRPr="00B61C40" w14:paraId="64E88F8A" w14:textId="77777777" w:rsidTr="007F68B4">
        <w:trPr>
          <w:trHeight w:val="5719"/>
        </w:trPr>
        <w:tc>
          <w:tcPr>
            <w:tcW w:w="1529" w:type="dxa"/>
            <w:shd w:val="clear" w:color="auto" w:fill="D9E1F3"/>
          </w:tcPr>
          <w:p w14:paraId="2B3C560D" w14:textId="77777777" w:rsidR="005B0C9A" w:rsidRPr="00B61C40" w:rsidRDefault="005B0C9A" w:rsidP="00056799">
            <w:pPr>
              <w:pStyle w:val="TableParagraph"/>
              <w:ind w:left="140" w:right="131"/>
              <w:jc w:val="both"/>
            </w:pPr>
            <w:r w:rsidRPr="00B61C40">
              <w:t>33</w:t>
            </w:r>
          </w:p>
        </w:tc>
        <w:tc>
          <w:tcPr>
            <w:tcW w:w="6976" w:type="dxa"/>
            <w:shd w:val="clear" w:color="auto" w:fill="D9E1F3"/>
          </w:tcPr>
          <w:p w14:paraId="44BDF415" w14:textId="77777777" w:rsidR="005B0C9A" w:rsidRPr="00B61C40" w:rsidRDefault="005B0C9A" w:rsidP="00056799">
            <w:pPr>
              <w:pStyle w:val="TableParagraph"/>
              <w:numPr>
                <w:ilvl w:val="0"/>
                <w:numId w:val="19"/>
              </w:numPr>
              <w:tabs>
                <w:tab w:val="left" w:pos="685"/>
                <w:tab w:val="left" w:pos="686"/>
              </w:tabs>
              <w:spacing w:before="93" w:line="264" w:lineRule="auto"/>
              <w:ind w:right="103"/>
              <w:jc w:val="both"/>
            </w:pPr>
            <w:r w:rsidRPr="00B61C40">
              <w:t>Legislate to provide a Head of Power for Tasmania Fire and Emergency</w:t>
            </w:r>
            <w:r w:rsidRPr="00B61C40">
              <w:rPr>
                <w:spacing w:val="-59"/>
              </w:rPr>
              <w:t xml:space="preserve"> </w:t>
            </w:r>
            <w:r w:rsidRPr="00B61C40">
              <w:t>Services (TFES)</w:t>
            </w:r>
            <w:r w:rsidRPr="00B61C40">
              <w:rPr>
                <w:spacing w:val="-1"/>
              </w:rPr>
              <w:t xml:space="preserve"> </w:t>
            </w:r>
            <w:r w:rsidRPr="00B61C40">
              <w:t>to:</w:t>
            </w:r>
          </w:p>
          <w:p w14:paraId="4649AEC8" w14:textId="77777777" w:rsidR="005B0C9A" w:rsidRPr="00B61C40" w:rsidRDefault="005B0C9A" w:rsidP="00056799">
            <w:pPr>
              <w:pStyle w:val="TableParagraph"/>
              <w:numPr>
                <w:ilvl w:val="1"/>
                <w:numId w:val="19"/>
              </w:numPr>
              <w:tabs>
                <w:tab w:val="left" w:pos="1270"/>
              </w:tabs>
              <w:spacing w:before="81"/>
              <w:ind w:hanging="426"/>
              <w:jc w:val="both"/>
            </w:pPr>
            <w:r w:rsidRPr="00B61C40">
              <w:t>establish</w:t>
            </w:r>
            <w:r w:rsidRPr="00B61C40">
              <w:rPr>
                <w:spacing w:val="-2"/>
              </w:rPr>
              <w:t xml:space="preserve"> </w:t>
            </w:r>
            <w:r w:rsidRPr="00B61C40">
              <w:t>and</w:t>
            </w:r>
            <w:r w:rsidRPr="00B61C40">
              <w:rPr>
                <w:spacing w:val="-2"/>
              </w:rPr>
              <w:t xml:space="preserve"> </w:t>
            </w:r>
            <w:r w:rsidRPr="00B61C40">
              <w:t>abolish</w:t>
            </w:r>
            <w:r w:rsidRPr="00B61C40">
              <w:rPr>
                <w:spacing w:val="-1"/>
              </w:rPr>
              <w:t xml:space="preserve"> </w:t>
            </w:r>
            <w:r w:rsidRPr="00B61C40">
              <w:t>brigades/units</w:t>
            </w:r>
          </w:p>
          <w:p w14:paraId="13C310BE" w14:textId="77777777" w:rsidR="005B0C9A" w:rsidRPr="00B61C40" w:rsidRDefault="005B0C9A" w:rsidP="00056799">
            <w:pPr>
              <w:pStyle w:val="TableParagraph"/>
              <w:numPr>
                <w:ilvl w:val="1"/>
                <w:numId w:val="19"/>
              </w:numPr>
              <w:tabs>
                <w:tab w:val="left" w:pos="1270"/>
              </w:tabs>
              <w:spacing w:before="87"/>
              <w:ind w:hanging="426"/>
              <w:jc w:val="both"/>
            </w:pPr>
            <w:r w:rsidRPr="00B61C40">
              <w:t>determine</w:t>
            </w:r>
            <w:r w:rsidRPr="00B61C40">
              <w:rPr>
                <w:spacing w:val="-2"/>
              </w:rPr>
              <w:t xml:space="preserve"> </w:t>
            </w:r>
            <w:r w:rsidRPr="00B61C40">
              <w:t>the</w:t>
            </w:r>
            <w:r w:rsidRPr="00B61C40">
              <w:rPr>
                <w:spacing w:val="-7"/>
              </w:rPr>
              <w:t xml:space="preserve"> </w:t>
            </w:r>
            <w:r w:rsidRPr="00B61C40">
              <w:t>membership</w:t>
            </w:r>
            <w:r w:rsidRPr="00B61C40">
              <w:rPr>
                <w:spacing w:val="-2"/>
              </w:rPr>
              <w:t xml:space="preserve"> </w:t>
            </w:r>
            <w:r w:rsidRPr="00B61C40">
              <w:t>of</w:t>
            </w:r>
            <w:r w:rsidRPr="00B61C40">
              <w:rPr>
                <w:spacing w:val="1"/>
              </w:rPr>
              <w:t xml:space="preserve"> </w:t>
            </w:r>
            <w:r w:rsidRPr="00B61C40">
              <w:t>brigades/units</w:t>
            </w:r>
          </w:p>
          <w:p w14:paraId="3D65F395" w14:textId="77777777" w:rsidR="005B0C9A" w:rsidRPr="00B61C40" w:rsidRDefault="005B0C9A" w:rsidP="00056799">
            <w:pPr>
              <w:pStyle w:val="TableParagraph"/>
              <w:numPr>
                <w:ilvl w:val="1"/>
                <w:numId w:val="19"/>
              </w:numPr>
              <w:tabs>
                <w:tab w:val="left" w:pos="1270"/>
              </w:tabs>
              <w:spacing w:before="88"/>
              <w:ind w:hanging="426"/>
              <w:jc w:val="both"/>
            </w:pPr>
            <w:r w:rsidRPr="00B61C40">
              <w:t>recommend</w:t>
            </w:r>
            <w:r w:rsidRPr="00B61C40">
              <w:rPr>
                <w:spacing w:val="-4"/>
              </w:rPr>
              <w:t xml:space="preserve"> </w:t>
            </w:r>
            <w:r w:rsidRPr="00B61C40">
              <w:t>locations of</w:t>
            </w:r>
            <w:r w:rsidRPr="00B61C40">
              <w:rPr>
                <w:spacing w:val="-2"/>
              </w:rPr>
              <w:t xml:space="preserve"> </w:t>
            </w:r>
            <w:r w:rsidRPr="00B61C40">
              <w:t>brigades/units</w:t>
            </w:r>
          </w:p>
          <w:p w14:paraId="0B3E7B91" w14:textId="77777777" w:rsidR="005B0C9A" w:rsidRPr="00B61C40" w:rsidRDefault="005B0C9A" w:rsidP="00056799">
            <w:pPr>
              <w:pStyle w:val="TableParagraph"/>
              <w:numPr>
                <w:ilvl w:val="1"/>
                <w:numId w:val="19"/>
              </w:numPr>
              <w:tabs>
                <w:tab w:val="left" w:pos="1270"/>
              </w:tabs>
              <w:spacing w:before="85" w:line="247" w:lineRule="auto"/>
              <w:ind w:right="624"/>
              <w:jc w:val="both"/>
            </w:pPr>
            <w:r w:rsidRPr="00B61C40">
              <w:t>define</w:t>
            </w:r>
            <w:r w:rsidRPr="00B61C40">
              <w:rPr>
                <w:spacing w:val="-3"/>
              </w:rPr>
              <w:t xml:space="preserve"> </w:t>
            </w:r>
            <w:r w:rsidRPr="00B61C40">
              <w:t>the</w:t>
            </w:r>
            <w:r w:rsidRPr="00B61C40">
              <w:rPr>
                <w:spacing w:val="-5"/>
              </w:rPr>
              <w:t xml:space="preserve"> </w:t>
            </w:r>
            <w:r w:rsidRPr="00B61C40">
              <w:t>structure,</w:t>
            </w:r>
            <w:r w:rsidRPr="00B61C40">
              <w:rPr>
                <w:spacing w:val="-4"/>
              </w:rPr>
              <w:t xml:space="preserve"> </w:t>
            </w:r>
            <w:r w:rsidRPr="00B61C40">
              <w:t>functions,</w:t>
            </w:r>
            <w:r w:rsidRPr="00B61C40">
              <w:rPr>
                <w:spacing w:val="-1"/>
              </w:rPr>
              <w:t xml:space="preserve"> </w:t>
            </w:r>
            <w:r w:rsidRPr="00B61C40">
              <w:t>powers</w:t>
            </w:r>
            <w:r w:rsidRPr="00B61C40">
              <w:rPr>
                <w:spacing w:val="-2"/>
              </w:rPr>
              <w:t xml:space="preserve"> </w:t>
            </w:r>
            <w:r w:rsidRPr="00B61C40">
              <w:t>and</w:t>
            </w:r>
            <w:r w:rsidRPr="00B61C40">
              <w:rPr>
                <w:spacing w:val="-4"/>
              </w:rPr>
              <w:t xml:space="preserve"> </w:t>
            </w:r>
            <w:r w:rsidRPr="00B61C40">
              <w:t>responsibilities</w:t>
            </w:r>
            <w:r w:rsidRPr="00B61C40">
              <w:rPr>
                <w:spacing w:val="-3"/>
              </w:rPr>
              <w:t xml:space="preserve"> </w:t>
            </w:r>
            <w:r w:rsidRPr="00B61C40">
              <w:t>of</w:t>
            </w:r>
            <w:r w:rsidRPr="00B61C40">
              <w:rPr>
                <w:spacing w:val="-58"/>
              </w:rPr>
              <w:t xml:space="preserve"> </w:t>
            </w:r>
            <w:r w:rsidRPr="00B61C40">
              <w:t>brigades/units</w:t>
            </w:r>
          </w:p>
          <w:p w14:paraId="77171462" w14:textId="77777777" w:rsidR="005B0C9A" w:rsidRPr="00B61C40" w:rsidRDefault="005B0C9A" w:rsidP="008021AA">
            <w:pPr>
              <w:pStyle w:val="TableParagraph"/>
              <w:numPr>
                <w:ilvl w:val="1"/>
                <w:numId w:val="19"/>
              </w:numPr>
              <w:tabs>
                <w:tab w:val="left" w:pos="1270"/>
              </w:tabs>
              <w:spacing w:before="100" w:line="256" w:lineRule="auto"/>
              <w:ind w:right="305"/>
              <w:jc w:val="both"/>
            </w:pPr>
            <w:r w:rsidRPr="00B61C40">
              <w:t>exercise such other powers and functions as may be necessary</w:t>
            </w:r>
            <w:r w:rsidRPr="00B61C40">
              <w:rPr>
                <w:spacing w:val="-59"/>
              </w:rPr>
              <w:t xml:space="preserve"> </w:t>
            </w:r>
            <w:r w:rsidRPr="00B61C40">
              <w:t>for the effective management of, and response to, fire and other</w:t>
            </w:r>
            <w:r w:rsidRPr="00B61C40">
              <w:rPr>
                <w:spacing w:val="-60"/>
              </w:rPr>
              <w:t xml:space="preserve"> </w:t>
            </w:r>
            <w:r w:rsidRPr="00B61C40">
              <w:t>prescribed</w:t>
            </w:r>
            <w:r w:rsidRPr="00B61C40">
              <w:rPr>
                <w:spacing w:val="-3"/>
              </w:rPr>
              <w:t xml:space="preserve"> </w:t>
            </w:r>
            <w:r w:rsidRPr="00B61C40">
              <w:t>emergencies.</w:t>
            </w:r>
          </w:p>
          <w:p w14:paraId="4B75E1F8" w14:textId="77777777" w:rsidR="005B0C9A" w:rsidRPr="00B61C40" w:rsidRDefault="005B0C9A" w:rsidP="008021AA">
            <w:pPr>
              <w:pStyle w:val="TableParagraph"/>
              <w:numPr>
                <w:ilvl w:val="0"/>
                <w:numId w:val="19"/>
              </w:numPr>
              <w:tabs>
                <w:tab w:val="left" w:pos="686"/>
              </w:tabs>
              <w:spacing w:before="76"/>
              <w:jc w:val="both"/>
            </w:pPr>
            <w:r w:rsidRPr="00B61C40">
              <w:t>Legislate to</w:t>
            </w:r>
            <w:r w:rsidRPr="00B61C40">
              <w:rPr>
                <w:spacing w:val="-2"/>
              </w:rPr>
              <w:t xml:space="preserve"> </w:t>
            </w:r>
            <w:r w:rsidRPr="00B61C40">
              <w:t>provide</w:t>
            </w:r>
            <w:r w:rsidRPr="00B61C40">
              <w:rPr>
                <w:spacing w:val="-2"/>
              </w:rPr>
              <w:t xml:space="preserve"> </w:t>
            </w:r>
            <w:r w:rsidRPr="00B61C40">
              <w:t>TFES with</w:t>
            </w:r>
            <w:r w:rsidRPr="00B61C40">
              <w:rPr>
                <w:spacing w:val="-1"/>
              </w:rPr>
              <w:t xml:space="preserve"> </w:t>
            </w:r>
            <w:r w:rsidRPr="00B61C40">
              <w:t>the</w:t>
            </w:r>
            <w:r w:rsidRPr="00B61C40">
              <w:rPr>
                <w:spacing w:val="-2"/>
              </w:rPr>
              <w:t xml:space="preserve"> </w:t>
            </w:r>
            <w:r w:rsidRPr="00B61C40">
              <w:t>power</w:t>
            </w:r>
            <w:r w:rsidRPr="00B61C40">
              <w:rPr>
                <w:spacing w:val="-1"/>
              </w:rPr>
              <w:t xml:space="preserve"> </w:t>
            </w:r>
            <w:r w:rsidRPr="00B61C40">
              <w:t>to:</w:t>
            </w:r>
          </w:p>
          <w:p w14:paraId="046AD65E" w14:textId="77777777" w:rsidR="005B0C9A" w:rsidRPr="00B61C40" w:rsidRDefault="005B0C9A" w:rsidP="00056799">
            <w:pPr>
              <w:pStyle w:val="TableParagraph"/>
              <w:numPr>
                <w:ilvl w:val="1"/>
                <w:numId w:val="19"/>
              </w:numPr>
              <w:tabs>
                <w:tab w:val="left" w:pos="1270"/>
              </w:tabs>
              <w:spacing w:before="105"/>
              <w:ind w:hanging="426"/>
              <w:jc w:val="both"/>
            </w:pPr>
            <w:r w:rsidRPr="00B61C40">
              <w:t>register/de-register</w:t>
            </w:r>
            <w:r w:rsidRPr="00B61C40">
              <w:rPr>
                <w:spacing w:val="-4"/>
              </w:rPr>
              <w:t xml:space="preserve"> </w:t>
            </w:r>
            <w:r w:rsidRPr="00B61C40">
              <w:t>volunteer/unit</w:t>
            </w:r>
            <w:r w:rsidRPr="00B61C40">
              <w:rPr>
                <w:spacing w:val="-6"/>
              </w:rPr>
              <w:t xml:space="preserve"> </w:t>
            </w:r>
            <w:r w:rsidRPr="00B61C40">
              <w:t>members</w:t>
            </w:r>
          </w:p>
          <w:p w14:paraId="11AE7D83" w14:textId="77777777" w:rsidR="005B0C9A" w:rsidRPr="00B61C40" w:rsidRDefault="005B0C9A" w:rsidP="00056799">
            <w:pPr>
              <w:pStyle w:val="TableParagraph"/>
              <w:numPr>
                <w:ilvl w:val="1"/>
                <w:numId w:val="19"/>
              </w:numPr>
              <w:tabs>
                <w:tab w:val="left" w:pos="1270"/>
              </w:tabs>
              <w:spacing w:before="85" w:line="247" w:lineRule="auto"/>
              <w:ind w:right="343"/>
              <w:jc w:val="both"/>
            </w:pPr>
            <w:r w:rsidRPr="00B61C40">
              <w:t>appoint</w:t>
            </w:r>
            <w:r w:rsidRPr="00B61C40">
              <w:rPr>
                <w:spacing w:val="-2"/>
              </w:rPr>
              <w:t xml:space="preserve"> </w:t>
            </w:r>
            <w:r w:rsidRPr="00B61C40">
              <w:t>unit</w:t>
            </w:r>
            <w:r w:rsidRPr="00B61C40">
              <w:rPr>
                <w:spacing w:val="-3"/>
              </w:rPr>
              <w:t xml:space="preserve"> </w:t>
            </w:r>
            <w:r w:rsidRPr="00B61C40">
              <w:t>managers,</w:t>
            </w:r>
            <w:r w:rsidRPr="00B61C40">
              <w:rPr>
                <w:spacing w:val="-4"/>
              </w:rPr>
              <w:t xml:space="preserve"> </w:t>
            </w:r>
            <w:r w:rsidRPr="00B61C40">
              <w:t>brigade</w:t>
            </w:r>
            <w:r w:rsidRPr="00B61C40">
              <w:rPr>
                <w:spacing w:val="-2"/>
              </w:rPr>
              <w:t xml:space="preserve"> </w:t>
            </w:r>
            <w:r w:rsidRPr="00B61C40">
              <w:t>chiefs,</w:t>
            </w:r>
            <w:r w:rsidRPr="00B61C40">
              <w:rPr>
                <w:spacing w:val="-1"/>
              </w:rPr>
              <w:t xml:space="preserve"> </w:t>
            </w:r>
            <w:r w:rsidRPr="00B61C40">
              <w:t>and</w:t>
            </w:r>
            <w:r w:rsidRPr="00B61C40">
              <w:rPr>
                <w:spacing w:val="-4"/>
              </w:rPr>
              <w:t xml:space="preserve"> </w:t>
            </w:r>
            <w:r w:rsidRPr="00B61C40">
              <w:t>establish</w:t>
            </w:r>
            <w:r w:rsidRPr="00B61C40">
              <w:rPr>
                <w:spacing w:val="-3"/>
              </w:rPr>
              <w:t xml:space="preserve"> </w:t>
            </w:r>
            <w:r w:rsidRPr="00B61C40">
              <w:t>standards,</w:t>
            </w:r>
            <w:r w:rsidRPr="00B61C40">
              <w:rPr>
                <w:spacing w:val="-58"/>
              </w:rPr>
              <w:t xml:space="preserve"> </w:t>
            </w:r>
            <w:r w:rsidRPr="00B61C40">
              <w:t>for</w:t>
            </w:r>
            <w:r w:rsidRPr="00B61C40">
              <w:rPr>
                <w:spacing w:val="-2"/>
              </w:rPr>
              <w:t xml:space="preserve"> </w:t>
            </w:r>
            <w:r w:rsidRPr="00B61C40">
              <w:t>things like equipment,</w:t>
            </w:r>
            <w:r w:rsidRPr="00B61C40">
              <w:rPr>
                <w:spacing w:val="-2"/>
              </w:rPr>
              <w:t xml:space="preserve"> </w:t>
            </w:r>
            <w:r w:rsidRPr="00B61C40">
              <w:t>training,</w:t>
            </w:r>
            <w:r w:rsidRPr="00B61C40">
              <w:rPr>
                <w:spacing w:val="1"/>
              </w:rPr>
              <w:t xml:space="preserve"> </w:t>
            </w:r>
            <w:r w:rsidRPr="00B61C40">
              <w:t>facilities,</w:t>
            </w:r>
            <w:r w:rsidRPr="00B61C40">
              <w:rPr>
                <w:spacing w:val="1"/>
              </w:rPr>
              <w:t xml:space="preserve"> </w:t>
            </w:r>
            <w:r w:rsidRPr="00B61C40">
              <w:t>etc.</w:t>
            </w:r>
          </w:p>
          <w:p w14:paraId="6E11C841" w14:textId="77777777" w:rsidR="005B0C9A" w:rsidRPr="00B61C40" w:rsidRDefault="005B0C9A" w:rsidP="00056799">
            <w:pPr>
              <w:pStyle w:val="TableParagraph"/>
              <w:numPr>
                <w:ilvl w:val="1"/>
                <w:numId w:val="19"/>
              </w:numPr>
              <w:tabs>
                <w:tab w:val="left" w:pos="1270"/>
              </w:tabs>
              <w:spacing w:before="101"/>
              <w:ind w:hanging="426"/>
              <w:jc w:val="both"/>
            </w:pPr>
            <w:r w:rsidRPr="00B61C40">
              <w:t>establish</w:t>
            </w:r>
            <w:r w:rsidRPr="00B61C40">
              <w:rPr>
                <w:spacing w:val="-2"/>
              </w:rPr>
              <w:t xml:space="preserve"> </w:t>
            </w:r>
            <w:r w:rsidRPr="00B61C40">
              <w:t>protocols</w:t>
            </w:r>
            <w:r w:rsidRPr="00B61C40">
              <w:rPr>
                <w:spacing w:val="-3"/>
              </w:rPr>
              <w:t xml:space="preserve"> </w:t>
            </w:r>
            <w:r w:rsidRPr="00B61C40">
              <w:t>for</w:t>
            </w:r>
            <w:r w:rsidRPr="00B61C40">
              <w:rPr>
                <w:spacing w:val="-2"/>
              </w:rPr>
              <w:t xml:space="preserve"> </w:t>
            </w:r>
            <w:r w:rsidRPr="00B61C40">
              <w:t>cooperation</w:t>
            </w:r>
          </w:p>
          <w:p w14:paraId="3B3C5243" w14:textId="77777777" w:rsidR="005B0C9A" w:rsidRPr="00B61C40" w:rsidRDefault="005B0C9A" w:rsidP="00056799">
            <w:pPr>
              <w:pStyle w:val="TableParagraph"/>
              <w:numPr>
                <w:ilvl w:val="1"/>
                <w:numId w:val="19"/>
              </w:numPr>
              <w:tabs>
                <w:tab w:val="left" w:pos="1270"/>
              </w:tabs>
              <w:spacing w:before="87" w:line="247" w:lineRule="auto"/>
              <w:ind w:right="482"/>
              <w:jc w:val="both"/>
            </w:pPr>
            <w:r w:rsidRPr="00B61C40">
              <w:t>appoint industry brigades, making clear that they be under the</w:t>
            </w:r>
            <w:r w:rsidRPr="00B61C40">
              <w:rPr>
                <w:spacing w:val="-59"/>
              </w:rPr>
              <w:t xml:space="preserve"> </w:t>
            </w:r>
            <w:r w:rsidRPr="00B61C40">
              <w:t>control</w:t>
            </w:r>
            <w:r w:rsidRPr="00B61C40">
              <w:rPr>
                <w:spacing w:val="-1"/>
              </w:rPr>
              <w:t xml:space="preserve"> </w:t>
            </w:r>
            <w:r w:rsidRPr="00B61C40">
              <w:t>of</w:t>
            </w:r>
            <w:r w:rsidRPr="00B61C40">
              <w:rPr>
                <w:spacing w:val="2"/>
              </w:rPr>
              <w:t xml:space="preserve"> </w:t>
            </w:r>
            <w:r w:rsidRPr="00B61C40">
              <w:t>TFES.</w:t>
            </w:r>
          </w:p>
        </w:tc>
        <w:tc>
          <w:tcPr>
            <w:tcW w:w="1134" w:type="dxa"/>
            <w:shd w:val="clear" w:color="auto" w:fill="D9E1F3"/>
          </w:tcPr>
          <w:p w14:paraId="142C9681" w14:textId="77777777" w:rsidR="005B0C9A" w:rsidRPr="00B61C40" w:rsidRDefault="005B0C9A" w:rsidP="00056799">
            <w:pPr>
              <w:pStyle w:val="TableParagraph"/>
              <w:ind w:left="8"/>
              <w:jc w:val="both"/>
            </w:pPr>
            <w:r w:rsidRPr="00B61C40">
              <w:t>7</w:t>
            </w:r>
          </w:p>
        </w:tc>
        <w:tc>
          <w:tcPr>
            <w:tcW w:w="993" w:type="dxa"/>
            <w:shd w:val="clear" w:color="auto" w:fill="D9E1F3"/>
          </w:tcPr>
          <w:p w14:paraId="0D969541" w14:textId="323BE059" w:rsidR="005B0C9A" w:rsidRPr="00B61C40" w:rsidRDefault="00346F95" w:rsidP="00056799">
            <w:pPr>
              <w:pStyle w:val="TableParagraph"/>
              <w:ind w:left="148" w:right="137"/>
              <w:jc w:val="both"/>
            </w:pPr>
            <w:hyperlink w:anchor="_bookmark92" w:history="1">
              <w:r w:rsidR="005B0C9A" w:rsidRPr="00B61C40">
                <w:t>113</w:t>
              </w:r>
            </w:hyperlink>
          </w:p>
        </w:tc>
      </w:tr>
      <w:tr w:rsidR="005B0C9A" w:rsidRPr="00B61C40" w14:paraId="28844AE9" w14:textId="77777777" w:rsidTr="007F68B4">
        <w:trPr>
          <w:trHeight w:val="2561"/>
        </w:trPr>
        <w:tc>
          <w:tcPr>
            <w:tcW w:w="1529" w:type="dxa"/>
            <w:shd w:val="clear" w:color="auto" w:fill="D9E1F3"/>
          </w:tcPr>
          <w:p w14:paraId="48D7926D" w14:textId="77777777" w:rsidR="005B0C9A" w:rsidRPr="00B61C40" w:rsidRDefault="005B0C9A" w:rsidP="00056799">
            <w:pPr>
              <w:pStyle w:val="TableParagraph"/>
              <w:ind w:left="140" w:right="131"/>
              <w:jc w:val="both"/>
            </w:pPr>
            <w:r w:rsidRPr="00B61C40">
              <w:t>34</w:t>
            </w:r>
          </w:p>
        </w:tc>
        <w:tc>
          <w:tcPr>
            <w:tcW w:w="6976" w:type="dxa"/>
            <w:shd w:val="clear" w:color="auto" w:fill="D9E1F3"/>
          </w:tcPr>
          <w:p w14:paraId="11192BA7" w14:textId="77777777" w:rsidR="005B0C9A" w:rsidRPr="00B61C40" w:rsidRDefault="005B0C9A" w:rsidP="00056799">
            <w:pPr>
              <w:pStyle w:val="TableParagraph"/>
              <w:numPr>
                <w:ilvl w:val="0"/>
                <w:numId w:val="18"/>
              </w:numPr>
              <w:tabs>
                <w:tab w:val="left" w:pos="685"/>
                <w:tab w:val="left" w:pos="686"/>
              </w:tabs>
              <w:spacing w:before="93" w:line="264" w:lineRule="auto"/>
              <w:ind w:right="204"/>
              <w:jc w:val="both"/>
            </w:pPr>
            <w:r w:rsidRPr="00B61C40">
              <w:t>Include the recommendations of the review of the fire permit system</w:t>
            </w:r>
            <w:r w:rsidRPr="00B61C40">
              <w:rPr>
                <w:spacing w:val="1"/>
              </w:rPr>
              <w:t xml:space="preserve"> </w:t>
            </w:r>
            <w:r w:rsidRPr="00B61C40">
              <w:t>into</w:t>
            </w:r>
            <w:r w:rsidRPr="00B61C40">
              <w:rPr>
                <w:spacing w:val="-2"/>
              </w:rPr>
              <w:t xml:space="preserve"> </w:t>
            </w:r>
            <w:r w:rsidRPr="00B61C40">
              <w:t>new</w:t>
            </w:r>
            <w:r w:rsidRPr="00B61C40">
              <w:rPr>
                <w:spacing w:val="-2"/>
              </w:rPr>
              <w:t xml:space="preserve"> </w:t>
            </w:r>
            <w:r w:rsidRPr="00B61C40">
              <w:t>legislation</w:t>
            </w:r>
            <w:r w:rsidRPr="00B61C40">
              <w:rPr>
                <w:spacing w:val="-2"/>
              </w:rPr>
              <w:t xml:space="preserve"> </w:t>
            </w:r>
            <w:r w:rsidRPr="00B61C40">
              <w:t>as</w:t>
            </w:r>
            <w:r w:rsidRPr="00B61C40">
              <w:rPr>
                <w:spacing w:val="-4"/>
              </w:rPr>
              <w:t xml:space="preserve"> </w:t>
            </w:r>
            <w:r w:rsidRPr="00B61C40">
              <w:t>appropriate, including</w:t>
            </w:r>
            <w:r w:rsidRPr="00B61C40">
              <w:rPr>
                <w:spacing w:val="-2"/>
              </w:rPr>
              <w:t xml:space="preserve"> </w:t>
            </w:r>
            <w:r w:rsidRPr="00B61C40">
              <w:t>arrangements</w:t>
            </w:r>
            <w:r w:rsidRPr="00B61C40">
              <w:rPr>
                <w:spacing w:val="-5"/>
              </w:rPr>
              <w:t xml:space="preserve"> </w:t>
            </w:r>
            <w:r w:rsidRPr="00B61C40">
              <w:t>for</w:t>
            </w:r>
            <w:r w:rsidRPr="00B61C40">
              <w:rPr>
                <w:spacing w:val="-3"/>
              </w:rPr>
              <w:t xml:space="preserve"> </w:t>
            </w:r>
            <w:r w:rsidRPr="00B61C40">
              <w:t>total</w:t>
            </w:r>
            <w:r w:rsidRPr="00B61C40">
              <w:rPr>
                <w:spacing w:val="-3"/>
              </w:rPr>
              <w:t xml:space="preserve"> </w:t>
            </w:r>
            <w:r w:rsidRPr="00B61C40">
              <w:t>fire</w:t>
            </w:r>
            <w:r w:rsidRPr="00B61C40">
              <w:rPr>
                <w:spacing w:val="-58"/>
              </w:rPr>
              <w:t xml:space="preserve"> </w:t>
            </w:r>
            <w:r w:rsidRPr="00B61C40">
              <w:t>bans.</w:t>
            </w:r>
          </w:p>
          <w:p w14:paraId="0DAC6729" w14:textId="77777777" w:rsidR="005B0C9A" w:rsidRPr="00B61C40" w:rsidRDefault="005B0C9A" w:rsidP="00056799">
            <w:pPr>
              <w:pStyle w:val="TableParagraph"/>
              <w:numPr>
                <w:ilvl w:val="0"/>
                <w:numId w:val="18"/>
              </w:numPr>
              <w:tabs>
                <w:tab w:val="left" w:pos="685"/>
                <w:tab w:val="left" w:pos="686"/>
              </w:tabs>
              <w:spacing w:before="69" w:line="264" w:lineRule="auto"/>
              <w:ind w:right="355"/>
              <w:jc w:val="both"/>
            </w:pPr>
            <w:r w:rsidRPr="00B61C40">
              <w:t>Ensure that new legislation includes scope to modify or change these</w:t>
            </w:r>
            <w:r w:rsidRPr="00B61C40">
              <w:rPr>
                <w:spacing w:val="-59"/>
              </w:rPr>
              <w:t xml:space="preserve"> </w:t>
            </w:r>
            <w:r w:rsidRPr="00B61C40">
              <w:t>arrangements if once implemented it is determined adjustments to</w:t>
            </w:r>
            <w:r w:rsidRPr="00B61C40">
              <w:rPr>
                <w:spacing w:val="1"/>
              </w:rPr>
              <w:t xml:space="preserve"> </w:t>
            </w:r>
            <w:r w:rsidRPr="00B61C40">
              <w:t>processes</w:t>
            </w:r>
            <w:r w:rsidRPr="00B61C40">
              <w:rPr>
                <w:spacing w:val="-2"/>
              </w:rPr>
              <w:t xml:space="preserve"> </w:t>
            </w:r>
            <w:r w:rsidRPr="00B61C40">
              <w:t>are</w:t>
            </w:r>
            <w:r w:rsidRPr="00B61C40">
              <w:rPr>
                <w:spacing w:val="-2"/>
              </w:rPr>
              <w:t xml:space="preserve"> </w:t>
            </w:r>
            <w:r w:rsidRPr="00B61C40">
              <w:t>required.</w:t>
            </w:r>
          </w:p>
          <w:p w14:paraId="29FE39EE" w14:textId="77777777" w:rsidR="005B0C9A" w:rsidRPr="00B61C40" w:rsidRDefault="005B0C9A" w:rsidP="00056799">
            <w:pPr>
              <w:pStyle w:val="TableParagraph"/>
              <w:numPr>
                <w:ilvl w:val="0"/>
                <w:numId w:val="18"/>
              </w:numPr>
              <w:tabs>
                <w:tab w:val="left" w:pos="685"/>
                <w:tab w:val="left" w:pos="686"/>
              </w:tabs>
              <w:spacing w:before="66" w:line="264" w:lineRule="auto"/>
              <w:ind w:right="239"/>
              <w:jc w:val="both"/>
            </w:pPr>
            <w:r w:rsidRPr="00B61C40">
              <w:t>Ensure that, subject to exemptions granted by the Chief Officer, no fire</w:t>
            </w:r>
            <w:r w:rsidRPr="00B61C40">
              <w:rPr>
                <w:spacing w:val="-59"/>
              </w:rPr>
              <w:t xml:space="preserve"> </w:t>
            </w:r>
            <w:r w:rsidRPr="00B61C40">
              <w:t>permits</w:t>
            </w:r>
            <w:r w:rsidRPr="00B61C40">
              <w:rPr>
                <w:spacing w:val="-3"/>
              </w:rPr>
              <w:t xml:space="preserve"> </w:t>
            </w:r>
            <w:r w:rsidRPr="00B61C40">
              <w:t>are</w:t>
            </w:r>
            <w:r w:rsidRPr="00B61C40">
              <w:rPr>
                <w:spacing w:val="-2"/>
              </w:rPr>
              <w:t xml:space="preserve"> </w:t>
            </w:r>
            <w:r w:rsidRPr="00B61C40">
              <w:t>issued</w:t>
            </w:r>
            <w:r w:rsidRPr="00B61C40">
              <w:rPr>
                <w:spacing w:val="-2"/>
              </w:rPr>
              <w:t xml:space="preserve"> </w:t>
            </w:r>
            <w:r w:rsidRPr="00B61C40">
              <w:t>when</w:t>
            </w:r>
            <w:r w:rsidRPr="00B61C40">
              <w:rPr>
                <w:spacing w:val="-2"/>
              </w:rPr>
              <w:t xml:space="preserve"> </w:t>
            </w:r>
            <w:r w:rsidRPr="00B61C40">
              <w:t>total</w:t>
            </w:r>
            <w:r w:rsidRPr="00B61C40">
              <w:rPr>
                <w:spacing w:val="-2"/>
              </w:rPr>
              <w:t xml:space="preserve"> </w:t>
            </w:r>
            <w:r w:rsidRPr="00B61C40">
              <w:t>fire bans</w:t>
            </w:r>
            <w:r w:rsidRPr="00B61C40">
              <w:rPr>
                <w:spacing w:val="1"/>
              </w:rPr>
              <w:t xml:space="preserve"> </w:t>
            </w:r>
            <w:r w:rsidRPr="00B61C40">
              <w:t>are in</w:t>
            </w:r>
            <w:r w:rsidRPr="00B61C40">
              <w:rPr>
                <w:spacing w:val="-1"/>
              </w:rPr>
              <w:t xml:space="preserve"> </w:t>
            </w:r>
            <w:r w:rsidRPr="00B61C40">
              <w:t>place.</w:t>
            </w:r>
          </w:p>
        </w:tc>
        <w:tc>
          <w:tcPr>
            <w:tcW w:w="1134" w:type="dxa"/>
            <w:shd w:val="clear" w:color="auto" w:fill="D9E1F3"/>
          </w:tcPr>
          <w:p w14:paraId="1901357B" w14:textId="77777777" w:rsidR="005B0C9A" w:rsidRPr="00B61C40" w:rsidRDefault="005B0C9A" w:rsidP="00056799">
            <w:pPr>
              <w:pStyle w:val="TableParagraph"/>
              <w:ind w:left="8"/>
              <w:jc w:val="both"/>
            </w:pPr>
            <w:r w:rsidRPr="00B61C40">
              <w:t>7</w:t>
            </w:r>
          </w:p>
        </w:tc>
        <w:tc>
          <w:tcPr>
            <w:tcW w:w="993" w:type="dxa"/>
            <w:shd w:val="clear" w:color="auto" w:fill="D9E1F3"/>
          </w:tcPr>
          <w:p w14:paraId="5E6D773D" w14:textId="3E1A7F3D" w:rsidR="005B0C9A" w:rsidRPr="00B61C40" w:rsidRDefault="00346F95" w:rsidP="00056799">
            <w:pPr>
              <w:pStyle w:val="TableParagraph"/>
              <w:ind w:left="148" w:right="137"/>
              <w:jc w:val="both"/>
            </w:pPr>
            <w:hyperlink w:anchor="_bookmark94" w:history="1">
              <w:r w:rsidR="005B0C9A" w:rsidRPr="00B61C40">
                <w:t>116</w:t>
              </w:r>
            </w:hyperlink>
          </w:p>
        </w:tc>
      </w:tr>
      <w:tr w:rsidR="005B0C9A" w:rsidRPr="00B61C40" w14:paraId="4F1930CB" w14:textId="77777777" w:rsidTr="007F68B4">
        <w:trPr>
          <w:trHeight w:val="1000"/>
        </w:trPr>
        <w:tc>
          <w:tcPr>
            <w:tcW w:w="1529" w:type="dxa"/>
            <w:shd w:val="clear" w:color="auto" w:fill="D9E1F3"/>
          </w:tcPr>
          <w:p w14:paraId="763A87C3" w14:textId="77777777" w:rsidR="005B0C9A" w:rsidRPr="00B61C40" w:rsidRDefault="005B0C9A" w:rsidP="00056799">
            <w:pPr>
              <w:pStyle w:val="TableParagraph"/>
              <w:ind w:left="140" w:right="131"/>
              <w:jc w:val="both"/>
            </w:pPr>
            <w:r w:rsidRPr="00B61C40">
              <w:t>35</w:t>
            </w:r>
          </w:p>
        </w:tc>
        <w:tc>
          <w:tcPr>
            <w:tcW w:w="6976" w:type="dxa"/>
            <w:shd w:val="clear" w:color="auto" w:fill="D9E1F3"/>
          </w:tcPr>
          <w:p w14:paraId="3E7729BE" w14:textId="77777777" w:rsidR="005B0C9A" w:rsidRPr="00B61C40" w:rsidRDefault="005B0C9A" w:rsidP="00056799">
            <w:pPr>
              <w:pStyle w:val="TableParagraph"/>
              <w:numPr>
                <w:ilvl w:val="0"/>
                <w:numId w:val="17"/>
              </w:numPr>
              <w:tabs>
                <w:tab w:val="left" w:pos="685"/>
                <w:tab w:val="left" w:pos="686"/>
              </w:tabs>
              <w:spacing w:before="93" w:line="264" w:lineRule="auto"/>
              <w:ind w:right="107"/>
              <w:jc w:val="both"/>
            </w:pPr>
            <w:r w:rsidRPr="00B61C40">
              <w:t>Expect,</w:t>
            </w:r>
            <w:r w:rsidRPr="00B61C40">
              <w:rPr>
                <w:spacing w:val="-3"/>
              </w:rPr>
              <w:t xml:space="preserve"> </w:t>
            </w:r>
            <w:r w:rsidRPr="00B61C40">
              <w:t>but</w:t>
            </w:r>
            <w:r w:rsidRPr="00B61C40">
              <w:rPr>
                <w:spacing w:val="-2"/>
              </w:rPr>
              <w:t xml:space="preserve"> </w:t>
            </w:r>
            <w:r w:rsidRPr="00B61C40">
              <w:t>do</w:t>
            </w:r>
            <w:r w:rsidRPr="00B61C40">
              <w:rPr>
                <w:spacing w:val="-2"/>
              </w:rPr>
              <w:t xml:space="preserve"> </w:t>
            </w:r>
            <w:r w:rsidRPr="00B61C40">
              <w:t>not</w:t>
            </w:r>
            <w:r w:rsidRPr="00B61C40">
              <w:rPr>
                <w:spacing w:val="-2"/>
              </w:rPr>
              <w:t xml:space="preserve"> </w:t>
            </w:r>
            <w:r w:rsidRPr="00B61C40">
              <w:t>legislate</w:t>
            </w:r>
            <w:r w:rsidRPr="00B61C40">
              <w:rPr>
                <w:spacing w:val="-3"/>
              </w:rPr>
              <w:t xml:space="preserve"> </w:t>
            </w:r>
            <w:r w:rsidRPr="00B61C40">
              <w:t>for, Tasmania</w:t>
            </w:r>
            <w:r w:rsidRPr="00B61C40">
              <w:rPr>
                <w:spacing w:val="-1"/>
              </w:rPr>
              <w:t xml:space="preserve"> </w:t>
            </w:r>
            <w:r w:rsidRPr="00B61C40">
              <w:t>Fire</w:t>
            </w:r>
            <w:r w:rsidRPr="00B61C40">
              <w:rPr>
                <w:spacing w:val="-4"/>
              </w:rPr>
              <w:t xml:space="preserve"> </w:t>
            </w:r>
            <w:r w:rsidRPr="00B61C40">
              <w:t>and</w:t>
            </w:r>
            <w:r w:rsidRPr="00B61C40">
              <w:rPr>
                <w:spacing w:val="-1"/>
              </w:rPr>
              <w:t xml:space="preserve"> </w:t>
            </w:r>
            <w:r w:rsidRPr="00B61C40">
              <w:t>Emergency</w:t>
            </w:r>
            <w:r w:rsidRPr="00B61C40">
              <w:rPr>
                <w:spacing w:val="-2"/>
              </w:rPr>
              <w:t xml:space="preserve"> </w:t>
            </w:r>
            <w:r w:rsidRPr="00B61C40">
              <w:t>Services</w:t>
            </w:r>
            <w:r w:rsidRPr="00B61C40">
              <w:rPr>
                <w:spacing w:val="-58"/>
              </w:rPr>
              <w:t xml:space="preserve"> </w:t>
            </w:r>
            <w:r w:rsidRPr="00B61C40">
              <w:t>(TFES) to provide education to the community on how best to prepare</w:t>
            </w:r>
            <w:r w:rsidRPr="00B61C40">
              <w:rPr>
                <w:spacing w:val="1"/>
              </w:rPr>
              <w:t xml:space="preserve"> </w:t>
            </w:r>
            <w:r w:rsidRPr="00B61C40">
              <w:t>for</w:t>
            </w:r>
            <w:r w:rsidRPr="00B61C40">
              <w:rPr>
                <w:spacing w:val="-1"/>
              </w:rPr>
              <w:t xml:space="preserve"> </w:t>
            </w:r>
            <w:r w:rsidRPr="00B61C40">
              <w:t>fire</w:t>
            </w:r>
            <w:r w:rsidRPr="00B61C40">
              <w:rPr>
                <w:spacing w:val="-2"/>
              </w:rPr>
              <w:t xml:space="preserve"> </w:t>
            </w:r>
            <w:r w:rsidRPr="00B61C40">
              <w:t>and</w:t>
            </w:r>
            <w:r w:rsidRPr="00B61C40">
              <w:rPr>
                <w:spacing w:val="-2"/>
              </w:rPr>
              <w:t xml:space="preserve"> </w:t>
            </w:r>
            <w:r w:rsidRPr="00B61C40">
              <w:t>relevant</w:t>
            </w:r>
            <w:r w:rsidRPr="00B61C40">
              <w:rPr>
                <w:spacing w:val="-1"/>
              </w:rPr>
              <w:t xml:space="preserve"> </w:t>
            </w:r>
            <w:r w:rsidRPr="00B61C40">
              <w:t>emergency</w:t>
            </w:r>
            <w:r w:rsidRPr="00B61C40">
              <w:rPr>
                <w:spacing w:val="-2"/>
              </w:rPr>
              <w:t xml:space="preserve"> </w:t>
            </w:r>
            <w:r w:rsidRPr="00B61C40">
              <w:t>risks.</w:t>
            </w:r>
          </w:p>
        </w:tc>
        <w:tc>
          <w:tcPr>
            <w:tcW w:w="1134" w:type="dxa"/>
            <w:shd w:val="clear" w:color="auto" w:fill="D9E1F3"/>
          </w:tcPr>
          <w:p w14:paraId="7C89390F" w14:textId="77777777" w:rsidR="005B0C9A" w:rsidRPr="00B61C40" w:rsidRDefault="005B0C9A" w:rsidP="00056799">
            <w:pPr>
              <w:pStyle w:val="TableParagraph"/>
              <w:ind w:left="8"/>
              <w:jc w:val="both"/>
            </w:pPr>
            <w:r w:rsidRPr="00B61C40">
              <w:t>7</w:t>
            </w:r>
          </w:p>
        </w:tc>
        <w:tc>
          <w:tcPr>
            <w:tcW w:w="993" w:type="dxa"/>
            <w:shd w:val="clear" w:color="auto" w:fill="D9E1F3"/>
          </w:tcPr>
          <w:p w14:paraId="375EE8E3" w14:textId="199016E3" w:rsidR="005B0C9A" w:rsidRPr="00B61C40" w:rsidRDefault="00346F95" w:rsidP="00056799">
            <w:pPr>
              <w:pStyle w:val="TableParagraph"/>
              <w:ind w:left="148" w:right="137"/>
              <w:jc w:val="both"/>
            </w:pPr>
            <w:hyperlink w:anchor="_bookmark96" w:history="1">
              <w:r w:rsidR="005B0C9A" w:rsidRPr="00B61C40">
                <w:t>117</w:t>
              </w:r>
            </w:hyperlink>
          </w:p>
        </w:tc>
      </w:tr>
      <w:tr w:rsidR="005B0C9A" w:rsidRPr="00B61C40" w14:paraId="475CD00C" w14:textId="77777777" w:rsidTr="007F68B4">
        <w:trPr>
          <w:trHeight w:val="1720"/>
        </w:trPr>
        <w:tc>
          <w:tcPr>
            <w:tcW w:w="1529" w:type="dxa"/>
            <w:shd w:val="clear" w:color="auto" w:fill="D9E1F3"/>
          </w:tcPr>
          <w:p w14:paraId="210107F8" w14:textId="77777777" w:rsidR="005B0C9A" w:rsidRPr="00B61C40" w:rsidRDefault="005B0C9A" w:rsidP="00056799">
            <w:pPr>
              <w:pStyle w:val="TableParagraph"/>
              <w:ind w:left="140" w:right="131"/>
              <w:jc w:val="both"/>
            </w:pPr>
            <w:r w:rsidRPr="00B61C40">
              <w:t>36</w:t>
            </w:r>
          </w:p>
        </w:tc>
        <w:tc>
          <w:tcPr>
            <w:tcW w:w="6976" w:type="dxa"/>
            <w:shd w:val="clear" w:color="auto" w:fill="D9E1F3"/>
          </w:tcPr>
          <w:p w14:paraId="3F9B7648" w14:textId="77777777" w:rsidR="005B0C9A" w:rsidRPr="00B61C40" w:rsidRDefault="005B0C9A" w:rsidP="00056799">
            <w:pPr>
              <w:pStyle w:val="TableParagraph"/>
              <w:numPr>
                <w:ilvl w:val="0"/>
                <w:numId w:val="16"/>
              </w:numPr>
              <w:tabs>
                <w:tab w:val="left" w:pos="685"/>
                <w:tab w:val="left" w:pos="686"/>
              </w:tabs>
              <w:spacing w:before="93" w:line="264" w:lineRule="auto"/>
              <w:ind w:right="910"/>
              <w:jc w:val="both"/>
            </w:pPr>
            <w:r w:rsidRPr="00B61C40">
              <w:t>Legislate for Tasmania Fire and Emergency Services (TFES)</w:t>
            </w:r>
            <w:r w:rsidRPr="00B61C40">
              <w:rPr>
                <w:spacing w:val="1"/>
              </w:rPr>
              <w:t xml:space="preserve"> </w:t>
            </w:r>
            <w:r w:rsidRPr="00B61C40">
              <w:t>responsibility for issuing permits to install, maintain or repair fire</w:t>
            </w:r>
            <w:r w:rsidRPr="00B61C40">
              <w:rPr>
                <w:spacing w:val="-59"/>
              </w:rPr>
              <w:t xml:space="preserve"> </w:t>
            </w:r>
            <w:r w:rsidRPr="00B61C40">
              <w:t>protection</w:t>
            </w:r>
            <w:r w:rsidRPr="00B61C40">
              <w:rPr>
                <w:spacing w:val="-1"/>
              </w:rPr>
              <w:t xml:space="preserve"> </w:t>
            </w:r>
            <w:r w:rsidRPr="00B61C40">
              <w:t>equipment,</w:t>
            </w:r>
            <w:r w:rsidRPr="00B61C40">
              <w:rPr>
                <w:spacing w:val="-1"/>
              </w:rPr>
              <w:t xml:space="preserve"> </w:t>
            </w:r>
            <w:r w:rsidRPr="00B61C40">
              <w:t>subject</w:t>
            </w:r>
            <w:r w:rsidRPr="00B61C40">
              <w:rPr>
                <w:spacing w:val="-1"/>
              </w:rPr>
              <w:t xml:space="preserve"> </w:t>
            </w:r>
            <w:r w:rsidRPr="00B61C40">
              <w:t>to</w:t>
            </w:r>
            <w:r w:rsidRPr="00B61C40">
              <w:rPr>
                <w:spacing w:val="-2"/>
              </w:rPr>
              <w:t xml:space="preserve"> </w:t>
            </w:r>
            <w:r w:rsidRPr="00B61C40">
              <w:t>a</w:t>
            </w:r>
            <w:r w:rsidRPr="00B61C40">
              <w:rPr>
                <w:spacing w:val="-2"/>
              </w:rPr>
              <w:t xml:space="preserve"> </w:t>
            </w:r>
            <w:r w:rsidRPr="00B61C40">
              <w:t>review</w:t>
            </w:r>
            <w:r w:rsidRPr="00B61C40">
              <w:rPr>
                <w:spacing w:val="-1"/>
              </w:rPr>
              <w:t xml:space="preserve"> </w:t>
            </w:r>
            <w:r w:rsidRPr="00B61C40">
              <w:t>of:</w:t>
            </w:r>
          </w:p>
          <w:p w14:paraId="4A15830B" w14:textId="77777777" w:rsidR="005B0C9A" w:rsidRPr="00B61C40" w:rsidRDefault="005B0C9A" w:rsidP="00056799">
            <w:pPr>
              <w:pStyle w:val="TableParagraph"/>
              <w:numPr>
                <w:ilvl w:val="1"/>
                <w:numId w:val="16"/>
              </w:numPr>
              <w:tabs>
                <w:tab w:val="left" w:pos="1270"/>
              </w:tabs>
              <w:spacing w:before="83"/>
              <w:ind w:hanging="426"/>
              <w:jc w:val="both"/>
            </w:pPr>
            <w:r w:rsidRPr="00B61C40">
              <w:t>the</w:t>
            </w:r>
            <w:r w:rsidRPr="00B61C40">
              <w:rPr>
                <w:spacing w:val="-2"/>
              </w:rPr>
              <w:t xml:space="preserve"> </w:t>
            </w:r>
            <w:r w:rsidRPr="00B61C40">
              <w:t>current</w:t>
            </w:r>
            <w:r w:rsidRPr="00B61C40">
              <w:rPr>
                <w:spacing w:val="-3"/>
              </w:rPr>
              <w:t xml:space="preserve"> </w:t>
            </w:r>
            <w:r w:rsidRPr="00B61C40">
              <w:t>regulatory</w:t>
            </w:r>
            <w:r w:rsidRPr="00B61C40">
              <w:rPr>
                <w:spacing w:val="-1"/>
              </w:rPr>
              <w:t xml:space="preserve"> </w:t>
            </w:r>
            <w:r w:rsidRPr="00B61C40">
              <w:t>arrangements</w:t>
            </w:r>
          </w:p>
          <w:p w14:paraId="690581B5" w14:textId="77777777" w:rsidR="005B0C9A" w:rsidRDefault="005B0C9A" w:rsidP="00056799">
            <w:pPr>
              <w:pStyle w:val="TableParagraph"/>
              <w:numPr>
                <w:ilvl w:val="1"/>
                <w:numId w:val="16"/>
              </w:numPr>
              <w:tabs>
                <w:tab w:val="left" w:pos="1270"/>
              </w:tabs>
              <w:spacing w:before="88"/>
              <w:ind w:hanging="426"/>
              <w:jc w:val="both"/>
            </w:pPr>
            <w:r w:rsidRPr="00B61C40">
              <w:t>conflict-of-interest</w:t>
            </w:r>
            <w:r w:rsidRPr="00B61C40">
              <w:rPr>
                <w:spacing w:val="-4"/>
              </w:rPr>
              <w:t xml:space="preserve"> </w:t>
            </w:r>
            <w:r w:rsidRPr="00B61C40">
              <w:t>arrangements.</w:t>
            </w:r>
          </w:p>
          <w:p w14:paraId="2E6D3D07" w14:textId="77777777" w:rsidR="007C1EC5" w:rsidRDefault="007C1EC5" w:rsidP="007C1EC5">
            <w:pPr>
              <w:pStyle w:val="TableParagraph"/>
              <w:tabs>
                <w:tab w:val="left" w:pos="1270"/>
              </w:tabs>
              <w:spacing w:before="88"/>
              <w:jc w:val="both"/>
            </w:pPr>
          </w:p>
          <w:p w14:paraId="193FD520" w14:textId="77777777" w:rsidR="007C1EC5" w:rsidRDefault="007C1EC5" w:rsidP="007C1EC5">
            <w:pPr>
              <w:pStyle w:val="TableParagraph"/>
              <w:tabs>
                <w:tab w:val="left" w:pos="1270"/>
              </w:tabs>
              <w:spacing w:before="88"/>
              <w:jc w:val="both"/>
            </w:pPr>
          </w:p>
          <w:p w14:paraId="69378502" w14:textId="77777777" w:rsidR="007C1EC5" w:rsidRDefault="007C1EC5" w:rsidP="007C1EC5">
            <w:pPr>
              <w:pStyle w:val="TableParagraph"/>
              <w:tabs>
                <w:tab w:val="left" w:pos="1270"/>
              </w:tabs>
              <w:spacing w:before="88"/>
              <w:jc w:val="both"/>
            </w:pPr>
          </w:p>
          <w:p w14:paraId="3CCAC87F" w14:textId="77777777" w:rsidR="007C1EC5" w:rsidRDefault="007C1EC5" w:rsidP="007C1EC5">
            <w:pPr>
              <w:pStyle w:val="TableParagraph"/>
              <w:tabs>
                <w:tab w:val="left" w:pos="1270"/>
              </w:tabs>
              <w:spacing w:before="88"/>
              <w:jc w:val="both"/>
            </w:pPr>
          </w:p>
          <w:p w14:paraId="36512380" w14:textId="47AEF224" w:rsidR="007C1EC5" w:rsidRPr="00B61C40" w:rsidRDefault="007C1EC5" w:rsidP="007C1EC5">
            <w:pPr>
              <w:pStyle w:val="TableParagraph"/>
              <w:tabs>
                <w:tab w:val="left" w:pos="1270"/>
              </w:tabs>
              <w:spacing w:before="88"/>
              <w:ind w:left="0"/>
              <w:jc w:val="both"/>
            </w:pPr>
          </w:p>
        </w:tc>
        <w:tc>
          <w:tcPr>
            <w:tcW w:w="1134" w:type="dxa"/>
            <w:shd w:val="clear" w:color="auto" w:fill="D9E1F3"/>
          </w:tcPr>
          <w:p w14:paraId="61CBAB8E" w14:textId="77777777" w:rsidR="005B0C9A" w:rsidRPr="00B61C40" w:rsidRDefault="005B0C9A" w:rsidP="00056799">
            <w:pPr>
              <w:pStyle w:val="TableParagraph"/>
              <w:ind w:left="8"/>
              <w:jc w:val="both"/>
            </w:pPr>
            <w:r w:rsidRPr="00B61C40">
              <w:t>7</w:t>
            </w:r>
          </w:p>
        </w:tc>
        <w:tc>
          <w:tcPr>
            <w:tcW w:w="993" w:type="dxa"/>
            <w:shd w:val="clear" w:color="auto" w:fill="D9E1F3"/>
          </w:tcPr>
          <w:p w14:paraId="5D81606B" w14:textId="47CAC021" w:rsidR="005B0C9A" w:rsidRPr="00B61C40" w:rsidRDefault="00346F95" w:rsidP="00056799">
            <w:pPr>
              <w:pStyle w:val="TableParagraph"/>
              <w:ind w:left="148" w:right="137"/>
              <w:jc w:val="both"/>
            </w:pPr>
            <w:hyperlink w:anchor="_bookmark98" w:history="1">
              <w:r w:rsidR="005B0C9A" w:rsidRPr="00B61C40">
                <w:t>120</w:t>
              </w:r>
            </w:hyperlink>
          </w:p>
        </w:tc>
      </w:tr>
      <w:tr w:rsidR="007C1EC5" w:rsidRPr="00B61C40" w14:paraId="40D90109" w14:textId="77777777" w:rsidTr="00FB408E">
        <w:trPr>
          <w:trHeight w:val="292"/>
        </w:trPr>
        <w:tc>
          <w:tcPr>
            <w:tcW w:w="8505" w:type="dxa"/>
            <w:gridSpan w:val="2"/>
            <w:vMerge w:val="restart"/>
            <w:shd w:val="clear" w:color="auto" w:fill="D9D9D9"/>
          </w:tcPr>
          <w:p w14:paraId="6D223929" w14:textId="77777777" w:rsidR="007C1EC5" w:rsidRPr="00B61C40" w:rsidRDefault="007C1EC5" w:rsidP="00FB408E">
            <w:pPr>
              <w:pStyle w:val="TableParagraph"/>
              <w:spacing w:before="172"/>
              <w:ind w:left="107"/>
              <w:jc w:val="both"/>
            </w:pPr>
            <w:bookmarkStart w:id="9" w:name="_Hlk115273972"/>
            <w:r w:rsidRPr="00B61C40">
              <w:rPr>
                <w:color w:val="2D74B5"/>
              </w:rPr>
              <w:lastRenderedPageBreak/>
              <w:t>Recommendation</w:t>
            </w:r>
          </w:p>
        </w:tc>
        <w:tc>
          <w:tcPr>
            <w:tcW w:w="2127" w:type="dxa"/>
            <w:gridSpan w:val="2"/>
            <w:shd w:val="clear" w:color="auto" w:fill="D9D9D9"/>
          </w:tcPr>
          <w:p w14:paraId="54F7C8A3" w14:textId="77777777" w:rsidR="007C1EC5" w:rsidRPr="00B61C40" w:rsidRDefault="007C1EC5"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7C1EC5" w:rsidRPr="00B61C40" w14:paraId="492803B0" w14:textId="77777777" w:rsidTr="00FB408E">
        <w:trPr>
          <w:trHeight w:val="292"/>
        </w:trPr>
        <w:tc>
          <w:tcPr>
            <w:tcW w:w="8505" w:type="dxa"/>
            <w:gridSpan w:val="2"/>
            <w:vMerge/>
            <w:tcBorders>
              <w:top w:val="nil"/>
            </w:tcBorders>
            <w:shd w:val="clear" w:color="auto" w:fill="D9D9D9"/>
          </w:tcPr>
          <w:p w14:paraId="60099EB8" w14:textId="77777777" w:rsidR="007C1EC5" w:rsidRPr="00B61C40" w:rsidRDefault="007C1EC5" w:rsidP="00FB408E">
            <w:pPr>
              <w:jc w:val="both"/>
              <w:rPr>
                <w:rFonts w:ascii="Arial" w:hAnsi="Arial" w:cs="Arial"/>
                <w:sz w:val="22"/>
                <w:szCs w:val="22"/>
              </w:rPr>
            </w:pPr>
          </w:p>
        </w:tc>
        <w:tc>
          <w:tcPr>
            <w:tcW w:w="1134" w:type="dxa"/>
            <w:shd w:val="clear" w:color="auto" w:fill="D9D9D9"/>
          </w:tcPr>
          <w:p w14:paraId="6C1ADA9F" w14:textId="77777777" w:rsidR="007C1EC5" w:rsidRPr="00B61C40" w:rsidRDefault="007C1EC5"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5D420789" w14:textId="77777777" w:rsidR="007C1EC5" w:rsidRPr="00B61C40" w:rsidRDefault="007C1EC5" w:rsidP="00FB408E">
            <w:pPr>
              <w:pStyle w:val="TableParagraph"/>
              <w:spacing w:before="21" w:line="251" w:lineRule="exact"/>
              <w:ind w:left="148" w:right="139"/>
              <w:jc w:val="both"/>
            </w:pPr>
            <w:r w:rsidRPr="00B61C40">
              <w:rPr>
                <w:color w:val="2D74B5"/>
              </w:rPr>
              <w:t>Page</w:t>
            </w:r>
          </w:p>
        </w:tc>
      </w:tr>
      <w:bookmarkEnd w:id="9"/>
      <w:tr w:rsidR="005B0C9A" w:rsidRPr="00B61C40" w14:paraId="720864D8" w14:textId="77777777" w:rsidTr="007F68B4">
        <w:trPr>
          <w:trHeight w:val="1841"/>
        </w:trPr>
        <w:tc>
          <w:tcPr>
            <w:tcW w:w="1529" w:type="dxa"/>
            <w:shd w:val="clear" w:color="auto" w:fill="D9E1F3"/>
          </w:tcPr>
          <w:p w14:paraId="4EA63AC5" w14:textId="77777777" w:rsidR="005B0C9A" w:rsidRPr="00B61C40" w:rsidRDefault="005B0C9A" w:rsidP="00056799">
            <w:pPr>
              <w:pStyle w:val="TableParagraph"/>
              <w:ind w:left="140" w:right="131"/>
              <w:jc w:val="both"/>
            </w:pPr>
            <w:r w:rsidRPr="00B61C40">
              <w:t>37</w:t>
            </w:r>
          </w:p>
        </w:tc>
        <w:tc>
          <w:tcPr>
            <w:tcW w:w="6976" w:type="dxa"/>
            <w:shd w:val="clear" w:color="auto" w:fill="D9E1F3"/>
          </w:tcPr>
          <w:p w14:paraId="5A296C4F" w14:textId="77777777" w:rsidR="005B0C9A" w:rsidRPr="00B61C40" w:rsidRDefault="005B0C9A" w:rsidP="00056799">
            <w:pPr>
              <w:pStyle w:val="TableParagraph"/>
              <w:numPr>
                <w:ilvl w:val="0"/>
                <w:numId w:val="15"/>
              </w:numPr>
              <w:tabs>
                <w:tab w:val="left" w:pos="685"/>
                <w:tab w:val="left" w:pos="686"/>
              </w:tabs>
              <w:spacing w:before="93" w:line="266" w:lineRule="auto"/>
              <w:ind w:right="226"/>
              <w:jc w:val="both"/>
            </w:pPr>
            <w:r w:rsidRPr="00B61C40">
              <w:t>Do not provide for building fire evacuation systems in any new</w:t>
            </w:r>
            <w:r w:rsidRPr="00B61C40">
              <w:rPr>
                <w:spacing w:val="1"/>
              </w:rPr>
              <w:t xml:space="preserve"> </w:t>
            </w:r>
            <w:r w:rsidRPr="00B61C40">
              <w:t>legislation; instead, establish in law or regulation that high-risk facilities</w:t>
            </w:r>
            <w:r w:rsidRPr="00B61C40">
              <w:rPr>
                <w:spacing w:val="-59"/>
              </w:rPr>
              <w:t xml:space="preserve"> </w:t>
            </w:r>
            <w:r w:rsidRPr="00B61C40">
              <w:t>should have their emergency response procedures reviewed and</w:t>
            </w:r>
            <w:r w:rsidRPr="00B61C40">
              <w:rPr>
                <w:spacing w:val="1"/>
              </w:rPr>
              <w:t xml:space="preserve"> </w:t>
            </w:r>
            <w:r w:rsidRPr="00B61C40">
              <w:t>approved by WorkSafe Tasmania and that, in view of its contemporary</w:t>
            </w:r>
            <w:r w:rsidRPr="00B61C40">
              <w:rPr>
                <w:spacing w:val="-59"/>
              </w:rPr>
              <w:t xml:space="preserve"> </w:t>
            </w:r>
            <w:r w:rsidRPr="00B61C40">
              <w:t>knowledge and experience in emergency response, advice be sought</w:t>
            </w:r>
            <w:r w:rsidRPr="00B61C40">
              <w:rPr>
                <w:spacing w:val="1"/>
              </w:rPr>
              <w:t xml:space="preserve"> </w:t>
            </w:r>
            <w:r w:rsidRPr="00B61C40">
              <w:t>where</w:t>
            </w:r>
            <w:r w:rsidRPr="00B61C40">
              <w:rPr>
                <w:spacing w:val="-1"/>
              </w:rPr>
              <w:t xml:space="preserve"> </w:t>
            </w:r>
            <w:r w:rsidRPr="00B61C40">
              <w:t>needed</w:t>
            </w:r>
            <w:r w:rsidRPr="00B61C40">
              <w:rPr>
                <w:spacing w:val="-3"/>
              </w:rPr>
              <w:t xml:space="preserve"> </w:t>
            </w:r>
            <w:r w:rsidRPr="00B61C40">
              <w:t>from</w:t>
            </w:r>
            <w:r w:rsidRPr="00B61C40">
              <w:rPr>
                <w:spacing w:val="-1"/>
              </w:rPr>
              <w:t xml:space="preserve"> </w:t>
            </w:r>
            <w:r w:rsidRPr="00B61C40">
              <w:t>Tasmania Fire</w:t>
            </w:r>
            <w:r w:rsidRPr="00B61C40">
              <w:rPr>
                <w:spacing w:val="-3"/>
              </w:rPr>
              <w:t xml:space="preserve"> </w:t>
            </w:r>
            <w:r w:rsidRPr="00B61C40">
              <w:t>and</w:t>
            </w:r>
            <w:r w:rsidRPr="00B61C40">
              <w:rPr>
                <w:spacing w:val="-1"/>
              </w:rPr>
              <w:t xml:space="preserve"> </w:t>
            </w:r>
            <w:r w:rsidRPr="00B61C40">
              <w:t>Emergency Services</w:t>
            </w:r>
            <w:r w:rsidRPr="00B61C40">
              <w:rPr>
                <w:spacing w:val="-2"/>
              </w:rPr>
              <w:t xml:space="preserve"> </w:t>
            </w:r>
            <w:r w:rsidRPr="00B61C40">
              <w:t>(TFES).</w:t>
            </w:r>
          </w:p>
        </w:tc>
        <w:tc>
          <w:tcPr>
            <w:tcW w:w="1134" w:type="dxa"/>
            <w:shd w:val="clear" w:color="auto" w:fill="D9E1F3"/>
          </w:tcPr>
          <w:p w14:paraId="022CFD40" w14:textId="77777777" w:rsidR="005B0C9A" w:rsidRPr="00B61C40" w:rsidRDefault="005B0C9A" w:rsidP="00056799">
            <w:pPr>
              <w:pStyle w:val="TableParagraph"/>
              <w:ind w:left="8"/>
              <w:jc w:val="both"/>
            </w:pPr>
            <w:r w:rsidRPr="00B61C40">
              <w:t>7</w:t>
            </w:r>
          </w:p>
        </w:tc>
        <w:tc>
          <w:tcPr>
            <w:tcW w:w="993" w:type="dxa"/>
            <w:shd w:val="clear" w:color="auto" w:fill="D9E1F3"/>
          </w:tcPr>
          <w:p w14:paraId="12FC3EF8" w14:textId="48399EA2" w:rsidR="005B0C9A" w:rsidRPr="00B61C40" w:rsidRDefault="00346F95" w:rsidP="00056799">
            <w:pPr>
              <w:pStyle w:val="TableParagraph"/>
              <w:ind w:left="148" w:right="137"/>
              <w:jc w:val="both"/>
            </w:pPr>
            <w:hyperlink w:anchor="_bookmark100" w:history="1">
              <w:r w:rsidR="005B0C9A" w:rsidRPr="00B61C40">
                <w:t>124</w:t>
              </w:r>
            </w:hyperlink>
          </w:p>
        </w:tc>
      </w:tr>
      <w:tr w:rsidR="005B0C9A" w:rsidRPr="00B61C40" w14:paraId="1FC0B358" w14:textId="77777777" w:rsidTr="007F68B4">
        <w:trPr>
          <w:trHeight w:val="1559"/>
        </w:trPr>
        <w:tc>
          <w:tcPr>
            <w:tcW w:w="1529" w:type="dxa"/>
            <w:shd w:val="clear" w:color="auto" w:fill="D9E1F3"/>
          </w:tcPr>
          <w:p w14:paraId="47119E84" w14:textId="77777777" w:rsidR="005B0C9A" w:rsidRPr="00B61C40" w:rsidRDefault="005B0C9A" w:rsidP="00056799">
            <w:pPr>
              <w:pStyle w:val="TableParagraph"/>
              <w:ind w:left="140" w:right="131"/>
              <w:jc w:val="both"/>
            </w:pPr>
            <w:r w:rsidRPr="00B61C40">
              <w:t>38</w:t>
            </w:r>
          </w:p>
        </w:tc>
        <w:tc>
          <w:tcPr>
            <w:tcW w:w="6976" w:type="dxa"/>
            <w:shd w:val="clear" w:color="auto" w:fill="D9E1F3"/>
          </w:tcPr>
          <w:p w14:paraId="09FB0519" w14:textId="77777777" w:rsidR="005B0C9A" w:rsidRPr="00B61C40" w:rsidRDefault="005B0C9A" w:rsidP="00056799">
            <w:pPr>
              <w:pStyle w:val="TableParagraph"/>
              <w:numPr>
                <w:ilvl w:val="0"/>
                <w:numId w:val="14"/>
              </w:numPr>
              <w:tabs>
                <w:tab w:val="left" w:pos="685"/>
                <w:tab w:val="left" w:pos="686"/>
              </w:tabs>
              <w:spacing w:before="93" w:line="264" w:lineRule="auto"/>
              <w:ind w:right="506"/>
              <w:jc w:val="both"/>
            </w:pPr>
            <w:r w:rsidRPr="00B61C40">
              <w:t>Review current offence and penalty provisions to determine if they</w:t>
            </w:r>
            <w:r w:rsidRPr="00B61C40">
              <w:rPr>
                <w:spacing w:val="1"/>
              </w:rPr>
              <w:t xml:space="preserve"> </w:t>
            </w:r>
            <w:r w:rsidRPr="00B61C40">
              <w:t>remain appropriate, enforceable and contemporary and reflect the</w:t>
            </w:r>
            <w:r w:rsidRPr="00B61C40">
              <w:rPr>
                <w:spacing w:val="1"/>
              </w:rPr>
              <w:t xml:space="preserve"> </w:t>
            </w:r>
            <w:r w:rsidRPr="00B61C40">
              <w:t>expanded roles of TFS and SES and, therefore, Tasmania Fire and</w:t>
            </w:r>
            <w:r w:rsidRPr="00B61C40">
              <w:rPr>
                <w:spacing w:val="-59"/>
              </w:rPr>
              <w:t xml:space="preserve"> </w:t>
            </w:r>
            <w:r w:rsidRPr="00B61C40">
              <w:t>Emergency Services (TFES). In doing so, consider provisions in the</w:t>
            </w:r>
            <w:r w:rsidRPr="00B61C40">
              <w:rPr>
                <w:spacing w:val="-59"/>
              </w:rPr>
              <w:t xml:space="preserve"> </w:t>
            </w:r>
            <w:r w:rsidRPr="00B61C40">
              <w:rPr>
                <w:i/>
              </w:rPr>
              <w:t>Police</w:t>
            </w:r>
            <w:r w:rsidRPr="00B61C40">
              <w:rPr>
                <w:i/>
                <w:spacing w:val="-1"/>
              </w:rPr>
              <w:t xml:space="preserve"> </w:t>
            </w:r>
            <w:r w:rsidRPr="00B61C40">
              <w:rPr>
                <w:i/>
              </w:rPr>
              <w:t>Offences Act</w:t>
            </w:r>
            <w:r w:rsidRPr="00B61C40">
              <w:rPr>
                <w:i/>
                <w:spacing w:val="-1"/>
              </w:rPr>
              <w:t xml:space="preserve"> </w:t>
            </w:r>
            <w:r w:rsidRPr="00B61C40">
              <w:rPr>
                <w:i/>
              </w:rPr>
              <w:t>1935</w:t>
            </w:r>
            <w:r w:rsidRPr="00B61C40">
              <w:t>.</w:t>
            </w:r>
          </w:p>
        </w:tc>
        <w:tc>
          <w:tcPr>
            <w:tcW w:w="1134" w:type="dxa"/>
            <w:shd w:val="clear" w:color="auto" w:fill="D9E1F3"/>
          </w:tcPr>
          <w:p w14:paraId="7DFF4D12" w14:textId="77777777" w:rsidR="005B0C9A" w:rsidRPr="00B61C40" w:rsidRDefault="005B0C9A" w:rsidP="00056799">
            <w:pPr>
              <w:pStyle w:val="TableParagraph"/>
              <w:ind w:left="8"/>
              <w:jc w:val="both"/>
            </w:pPr>
            <w:r w:rsidRPr="00B61C40">
              <w:t>7</w:t>
            </w:r>
          </w:p>
        </w:tc>
        <w:tc>
          <w:tcPr>
            <w:tcW w:w="993" w:type="dxa"/>
            <w:shd w:val="clear" w:color="auto" w:fill="D9E1F3"/>
          </w:tcPr>
          <w:p w14:paraId="463CA632" w14:textId="6587953A" w:rsidR="005B0C9A" w:rsidRPr="00B61C40" w:rsidRDefault="00346F95" w:rsidP="00056799">
            <w:pPr>
              <w:pStyle w:val="TableParagraph"/>
              <w:ind w:left="148" w:right="137"/>
              <w:jc w:val="both"/>
            </w:pPr>
            <w:hyperlink w:anchor="_bookmark102" w:history="1">
              <w:r w:rsidR="005B0C9A" w:rsidRPr="00B61C40">
                <w:t>127</w:t>
              </w:r>
            </w:hyperlink>
          </w:p>
        </w:tc>
      </w:tr>
      <w:tr w:rsidR="005B0C9A" w:rsidRPr="00B61C40" w14:paraId="5C64E787" w14:textId="77777777" w:rsidTr="007F68B4">
        <w:trPr>
          <w:trHeight w:val="5241"/>
        </w:trPr>
        <w:tc>
          <w:tcPr>
            <w:tcW w:w="1529" w:type="dxa"/>
            <w:shd w:val="clear" w:color="auto" w:fill="D9E1F3"/>
          </w:tcPr>
          <w:p w14:paraId="3EACEF04" w14:textId="77777777" w:rsidR="005B0C9A" w:rsidRPr="00B61C40" w:rsidRDefault="005B0C9A" w:rsidP="00056799">
            <w:pPr>
              <w:pStyle w:val="TableParagraph"/>
              <w:ind w:left="140" w:right="131"/>
              <w:jc w:val="both"/>
            </w:pPr>
            <w:r w:rsidRPr="00B61C40">
              <w:t>39</w:t>
            </w:r>
          </w:p>
        </w:tc>
        <w:tc>
          <w:tcPr>
            <w:tcW w:w="6976" w:type="dxa"/>
            <w:shd w:val="clear" w:color="auto" w:fill="D9E1F3"/>
          </w:tcPr>
          <w:p w14:paraId="0B5A4133" w14:textId="77777777" w:rsidR="005B0C9A" w:rsidRPr="00B61C40" w:rsidRDefault="005B0C9A" w:rsidP="00056799">
            <w:pPr>
              <w:pStyle w:val="TableParagraph"/>
              <w:numPr>
                <w:ilvl w:val="0"/>
                <w:numId w:val="13"/>
              </w:numPr>
              <w:tabs>
                <w:tab w:val="left" w:pos="685"/>
                <w:tab w:val="left" w:pos="686"/>
              </w:tabs>
              <w:spacing w:before="93"/>
              <w:jc w:val="both"/>
            </w:pPr>
            <w:r w:rsidRPr="00B61C40">
              <w:t>Legislate</w:t>
            </w:r>
            <w:r w:rsidRPr="00B61C40">
              <w:rPr>
                <w:spacing w:val="-1"/>
              </w:rPr>
              <w:t xml:space="preserve"> </w:t>
            </w:r>
            <w:r w:rsidRPr="00B61C40">
              <w:t>to:</w:t>
            </w:r>
          </w:p>
          <w:p w14:paraId="208405B7" w14:textId="77777777" w:rsidR="005B0C9A" w:rsidRPr="00B61C40" w:rsidRDefault="005B0C9A" w:rsidP="00056799">
            <w:pPr>
              <w:pStyle w:val="TableParagraph"/>
              <w:numPr>
                <w:ilvl w:val="1"/>
                <w:numId w:val="13"/>
              </w:numPr>
              <w:tabs>
                <w:tab w:val="left" w:pos="1270"/>
              </w:tabs>
              <w:spacing w:before="105" w:line="259" w:lineRule="auto"/>
              <w:ind w:right="192"/>
              <w:jc w:val="both"/>
            </w:pPr>
            <w:r w:rsidRPr="00B61C40">
              <w:t>provide for Tasmania Fire and Emergency Services (TFES) to</w:t>
            </w:r>
            <w:r w:rsidRPr="00B61C40">
              <w:rPr>
                <w:spacing w:val="1"/>
              </w:rPr>
              <w:t xml:space="preserve"> </w:t>
            </w:r>
            <w:r w:rsidRPr="00B61C40">
              <w:t>establish a chain of command for response (including</w:t>
            </w:r>
            <w:r w:rsidRPr="00B61C40">
              <w:rPr>
                <w:spacing w:val="1"/>
              </w:rPr>
              <w:t xml:space="preserve"> </w:t>
            </w:r>
            <w:r w:rsidRPr="00B61C40">
              <w:t>appointment of Incident Controllers) by means of regulations or a</w:t>
            </w:r>
            <w:r w:rsidRPr="00B61C40">
              <w:rPr>
                <w:spacing w:val="-59"/>
              </w:rPr>
              <w:t xml:space="preserve"> </w:t>
            </w:r>
            <w:r w:rsidRPr="00B61C40">
              <w:t>statutory</w:t>
            </w:r>
            <w:r w:rsidRPr="00B61C40">
              <w:rPr>
                <w:spacing w:val="-2"/>
              </w:rPr>
              <w:t xml:space="preserve"> </w:t>
            </w:r>
            <w:r w:rsidRPr="00B61C40">
              <w:t>instrument,</w:t>
            </w:r>
            <w:r w:rsidRPr="00B61C40">
              <w:rPr>
                <w:spacing w:val="1"/>
              </w:rPr>
              <w:t xml:space="preserve"> </w:t>
            </w:r>
            <w:r w:rsidRPr="00B61C40">
              <w:t>which</w:t>
            </w:r>
            <w:r w:rsidRPr="00B61C40">
              <w:rPr>
                <w:spacing w:val="-1"/>
              </w:rPr>
              <w:t xml:space="preserve"> </w:t>
            </w:r>
            <w:r w:rsidRPr="00B61C40">
              <w:t>can,</w:t>
            </w:r>
            <w:r w:rsidRPr="00B61C40">
              <w:rPr>
                <w:spacing w:val="-2"/>
              </w:rPr>
              <w:t xml:space="preserve"> </w:t>
            </w:r>
            <w:r w:rsidRPr="00B61C40">
              <w:t>when</w:t>
            </w:r>
            <w:r w:rsidRPr="00B61C40">
              <w:rPr>
                <w:spacing w:val="-1"/>
              </w:rPr>
              <w:t xml:space="preserve"> </w:t>
            </w:r>
            <w:r w:rsidRPr="00B61C40">
              <w:t>necessary,</w:t>
            </w:r>
            <w:r w:rsidRPr="00B61C40">
              <w:rPr>
                <w:spacing w:val="-2"/>
              </w:rPr>
              <w:t xml:space="preserve"> </w:t>
            </w:r>
            <w:r w:rsidRPr="00B61C40">
              <w:t>be</w:t>
            </w:r>
            <w:r w:rsidRPr="00B61C40">
              <w:rPr>
                <w:spacing w:val="-1"/>
              </w:rPr>
              <w:t xml:space="preserve"> </w:t>
            </w:r>
            <w:r w:rsidRPr="00B61C40">
              <w:t>amended</w:t>
            </w:r>
          </w:p>
          <w:p w14:paraId="03DBFC33" w14:textId="77777777" w:rsidR="005B0C9A" w:rsidRPr="00B61C40" w:rsidRDefault="005B0C9A" w:rsidP="00056799">
            <w:pPr>
              <w:pStyle w:val="TableParagraph"/>
              <w:numPr>
                <w:ilvl w:val="1"/>
                <w:numId w:val="13"/>
              </w:numPr>
              <w:tabs>
                <w:tab w:val="left" w:pos="1270"/>
              </w:tabs>
              <w:spacing w:before="88" w:line="256" w:lineRule="auto"/>
              <w:ind w:right="229"/>
              <w:jc w:val="both"/>
            </w:pPr>
            <w:r w:rsidRPr="00B61C40">
              <w:t>make clear that all emergency responders who are present at an</w:t>
            </w:r>
            <w:r w:rsidRPr="00B61C40">
              <w:rPr>
                <w:spacing w:val="-59"/>
              </w:rPr>
              <w:t xml:space="preserve"> </w:t>
            </w:r>
            <w:r w:rsidRPr="00B61C40">
              <w:t>incident are, in all respects, subject to the Incident Controller’s</w:t>
            </w:r>
            <w:r w:rsidRPr="00B61C40">
              <w:rPr>
                <w:spacing w:val="1"/>
              </w:rPr>
              <w:t xml:space="preserve"> </w:t>
            </w:r>
            <w:r w:rsidRPr="00B61C40">
              <w:t>direction</w:t>
            </w:r>
          </w:p>
          <w:p w14:paraId="2966E547" w14:textId="77777777" w:rsidR="005B0C9A" w:rsidRPr="00B61C40" w:rsidRDefault="005B0C9A" w:rsidP="00056799">
            <w:pPr>
              <w:pStyle w:val="TableParagraph"/>
              <w:numPr>
                <w:ilvl w:val="1"/>
                <w:numId w:val="13"/>
              </w:numPr>
              <w:tabs>
                <w:tab w:val="left" w:pos="1270"/>
              </w:tabs>
              <w:spacing w:before="90" w:line="259" w:lineRule="auto"/>
              <w:ind w:right="130"/>
              <w:jc w:val="both"/>
            </w:pPr>
            <w:r w:rsidRPr="00B61C40">
              <w:t>give power to, or require, TFES to ensure that an endorsement or</w:t>
            </w:r>
            <w:r w:rsidRPr="00B61C40">
              <w:rPr>
                <w:spacing w:val="-59"/>
              </w:rPr>
              <w:t xml:space="preserve"> </w:t>
            </w:r>
            <w:r w:rsidRPr="00B61C40">
              <w:t>accreditation process is in place for incident management staff</w:t>
            </w:r>
            <w:r w:rsidRPr="00B61C40">
              <w:rPr>
                <w:spacing w:val="1"/>
              </w:rPr>
              <w:t xml:space="preserve"> </w:t>
            </w:r>
            <w:r w:rsidRPr="00B61C40">
              <w:t>that provides authority, accountability, indemnity, consistency and</w:t>
            </w:r>
            <w:r w:rsidRPr="00B61C40">
              <w:rPr>
                <w:spacing w:val="-59"/>
              </w:rPr>
              <w:t xml:space="preserve"> </w:t>
            </w:r>
            <w:r w:rsidRPr="00B61C40">
              <w:t>efficiency of</w:t>
            </w:r>
            <w:r w:rsidRPr="00B61C40">
              <w:rPr>
                <w:spacing w:val="2"/>
              </w:rPr>
              <w:t xml:space="preserve"> </w:t>
            </w:r>
            <w:r w:rsidRPr="00B61C40">
              <w:t>process</w:t>
            </w:r>
          </w:p>
          <w:p w14:paraId="6B76A9D6" w14:textId="77777777" w:rsidR="005B0C9A" w:rsidRPr="00B61C40" w:rsidRDefault="005B0C9A" w:rsidP="00056799">
            <w:pPr>
              <w:pStyle w:val="TableParagraph"/>
              <w:numPr>
                <w:ilvl w:val="1"/>
                <w:numId w:val="13"/>
              </w:numPr>
              <w:tabs>
                <w:tab w:val="left" w:pos="1270"/>
              </w:tabs>
              <w:spacing w:before="88" w:line="261" w:lineRule="auto"/>
              <w:ind w:right="194"/>
              <w:jc w:val="both"/>
            </w:pPr>
            <w:r w:rsidRPr="00B61C40">
              <w:t>update the roles and responsibilities for emergency management</w:t>
            </w:r>
            <w:r w:rsidRPr="00B61C40">
              <w:rPr>
                <w:spacing w:val="-59"/>
              </w:rPr>
              <w:t xml:space="preserve"> </w:t>
            </w:r>
            <w:r w:rsidRPr="00B61C40">
              <w:t xml:space="preserve">to be consistent with those prescribed in the </w:t>
            </w:r>
            <w:r w:rsidRPr="00B61C40">
              <w:rPr>
                <w:i/>
              </w:rPr>
              <w:t>Emergency</w:t>
            </w:r>
            <w:r w:rsidRPr="00B61C40">
              <w:rPr>
                <w:i/>
                <w:spacing w:val="1"/>
              </w:rPr>
              <w:t xml:space="preserve"> </w:t>
            </w:r>
            <w:r w:rsidRPr="00B61C40">
              <w:rPr>
                <w:i/>
              </w:rPr>
              <w:t xml:space="preserve">Management Act 2006 </w:t>
            </w:r>
            <w:r w:rsidRPr="00B61C40">
              <w:t>(because command and control</w:t>
            </w:r>
            <w:r w:rsidRPr="00B61C40">
              <w:rPr>
                <w:spacing w:val="1"/>
              </w:rPr>
              <w:t xml:space="preserve"> </w:t>
            </w:r>
            <w:r w:rsidRPr="00B61C40">
              <w:t>arrangements will apply to SES as well as TFS, and therefore to</w:t>
            </w:r>
            <w:r w:rsidRPr="00B61C40">
              <w:rPr>
                <w:spacing w:val="1"/>
              </w:rPr>
              <w:t xml:space="preserve"> </w:t>
            </w:r>
            <w:r w:rsidRPr="00B61C40">
              <w:t>TFES).</w:t>
            </w:r>
          </w:p>
        </w:tc>
        <w:tc>
          <w:tcPr>
            <w:tcW w:w="1134" w:type="dxa"/>
            <w:shd w:val="clear" w:color="auto" w:fill="D9E1F3"/>
          </w:tcPr>
          <w:p w14:paraId="425E56CD" w14:textId="77777777" w:rsidR="005B0C9A" w:rsidRPr="00B61C40" w:rsidRDefault="005B0C9A" w:rsidP="00056799">
            <w:pPr>
              <w:pStyle w:val="TableParagraph"/>
              <w:ind w:left="8"/>
              <w:jc w:val="both"/>
            </w:pPr>
            <w:r w:rsidRPr="00B61C40">
              <w:t>7</w:t>
            </w:r>
          </w:p>
        </w:tc>
        <w:tc>
          <w:tcPr>
            <w:tcW w:w="993" w:type="dxa"/>
            <w:shd w:val="clear" w:color="auto" w:fill="D9E1F3"/>
          </w:tcPr>
          <w:p w14:paraId="3834CB38" w14:textId="1D74ACE3" w:rsidR="005B0C9A" w:rsidRPr="00B61C40" w:rsidRDefault="00346F95" w:rsidP="00056799">
            <w:pPr>
              <w:pStyle w:val="TableParagraph"/>
              <w:ind w:left="148" w:right="137"/>
              <w:jc w:val="both"/>
            </w:pPr>
            <w:hyperlink w:anchor="_bookmark104" w:history="1">
              <w:r w:rsidR="005B0C9A" w:rsidRPr="00B61C40">
                <w:t>128</w:t>
              </w:r>
            </w:hyperlink>
          </w:p>
        </w:tc>
      </w:tr>
      <w:tr w:rsidR="005B0C9A" w:rsidRPr="00B61C40" w14:paraId="5A49558E" w14:textId="77777777" w:rsidTr="007F68B4">
        <w:trPr>
          <w:trHeight w:val="1279"/>
        </w:trPr>
        <w:tc>
          <w:tcPr>
            <w:tcW w:w="1529" w:type="dxa"/>
            <w:shd w:val="clear" w:color="auto" w:fill="D9E1F3"/>
          </w:tcPr>
          <w:p w14:paraId="26130B20" w14:textId="77777777" w:rsidR="005B0C9A" w:rsidRPr="00B61C40" w:rsidRDefault="005B0C9A" w:rsidP="00056799">
            <w:pPr>
              <w:pStyle w:val="TableParagraph"/>
              <w:ind w:left="140" w:right="131"/>
              <w:jc w:val="both"/>
            </w:pPr>
            <w:r w:rsidRPr="00B61C40">
              <w:t>40</w:t>
            </w:r>
          </w:p>
        </w:tc>
        <w:tc>
          <w:tcPr>
            <w:tcW w:w="6976" w:type="dxa"/>
            <w:shd w:val="clear" w:color="auto" w:fill="D9E1F3"/>
          </w:tcPr>
          <w:p w14:paraId="439E7F60" w14:textId="77777777" w:rsidR="005B0C9A" w:rsidRPr="00B61C40" w:rsidRDefault="005B0C9A" w:rsidP="00056799">
            <w:pPr>
              <w:pStyle w:val="TableParagraph"/>
              <w:numPr>
                <w:ilvl w:val="0"/>
                <w:numId w:val="12"/>
              </w:numPr>
              <w:tabs>
                <w:tab w:val="left" w:pos="685"/>
                <w:tab w:val="left" w:pos="686"/>
              </w:tabs>
              <w:spacing w:before="93" w:line="264" w:lineRule="auto"/>
              <w:ind w:right="480"/>
              <w:jc w:val="both"/>
            </w:pPr>
            <w:r w:rsidRPr="00B61C40">
              <w:t>Expect Tasmania Fire and Emergency Services (TFES) to have</w:t>
            </w:r>
            <w:r w:rsidRPr="00B61C40">
              <w:rPr>
                <w:spacing w:val="1"/>
              </w:rPr>
              <w:t xml:space="preserve"> </w:t>
            </w:r>
            <w:r w:rsidRPr="00B61C40">
              <w:t>capability, or access to capability, to advise on, or participate in the</w:t>
            </w:r>
            <w:r w:rsidRPr="00B61C40">
              <w:rPr>
                <w:spacing w:val="1"/>
              </w:rPr>
              <w:t xml:space="preserve"> </w:t>
            </w:r>
            <w:r w:rsidRPr="00B61C40">
              <w:t>development of, strategies aimed at identifying risks associated with</w:t>
            </w:r>
            <w:r w:rsidRPr="00B61C40">
              <w:rPr>
                <w:spacing w:val="-59"/>
              </w:rPr>
              <w:t xml:space="preserve"> </w:t>
            </w:r>
            <w:r w:rsidRPr="00B61C40">
              <w:t>changes</w:t>
            </w:r>
            <w:r w:rsidRPr="00B61C40">
              <w:rPr>
                <w:spacing w:val="-1"/>
              </w:rPr>
              <w:t xml:space="preserve"> </w:t>
            </w:r>
            <w:r w:rsidRPr="00B61C40">
              <w:t>in our</w:t>
            </w:r>
            <w:r w:rsidRPr="00B61C40">
              <w:rPr>
                <w:spacing w:val="1"/>
              </w:rPr>
              <w:t xml:space="preserve"> </w:t>
            </w:r>
            <w:r w:rsidRPr="00B61C40">
              <w:t>climate</w:t>
            </w:r>
            <w:r w:rsidRPr="00B61C40">
              <w:rPr>
                <w:spacing w:val="-1"/>
              </w:rPr>
              <w:t xml:space="preserve"> </w:t>
            </w:r>
            <w:r w:rsidRPr="00B61C40">
              <w:t>and proposed</w:t>
            </w:r>
            <w:r w:rsidRPr="00B61C40">
              <w:rPr>
                <w:spacing w:val="-2"/>
              </w:rPr>
              <w:t xml:space="preserve"> </w:t>
            </w:r>
            <w:r w:rsidRPr="00B61C40">
              <w:t>mitigations.</w:t>
            </w:r>
          </w:p>
        </w:tc>
        <w:tc>
          <w:tcPr>
            <w:tcW w:w="1134" w:type="dxa"/>
            <w:shd w:val="clear" w:color="auto" w:fill="D9E1F3"/>
          </w:tcPr>
          <w:p w14:paraId="32895AEB" w14:textId="77777777" w:rsidR="005B0C9A" w:rsidRPr="00B61C40" w:rsidRDefault="005B0C9A" w:rsidP="00056799">
            <w:pPr>
              <w:pStyle w:val="TableParagraph"/>
              <w:ind w:left="8"/>
              <w:jc w:val="both"/>
            </w:pPr>
            <w:r w:rsidRPr="00B61C40">
              <w:t>7</w:t>
            </w:r>
          </w:p>
        </w:tc>
        <w:tc>
          <w:tcPr>
            <w:tcW w:w="993" w:type="dxa"/>
            <w:shd w:val="clear" w:color="auto" w:fill="D9E1F3"/>
          </w:tcPr>
          <w:p w14:paraId="5A71C96E" w14:textId="201939A3" w:rsidR="005B0C9A" w:rsidRPr="00B61C40" w:rsidRDefault="00346F95" w:rsidP="00056799">
            <w:pPr>
              <w:pStyle w:val="TableParagraph"/>
              <w:ind w:left="148" w:right="137"/>
              <w:jc w:val="both"/>
            </w:pPr>
            <w:hyperlink w:anchor="_bookmark106" w:history="1">
              <w:r w:rsidR="005B0C9A" w:rsidRPr="00B61C40">
                <w:t>129</w:t>
              </w:r>
            </w:hyperlink>
          </w:p>
        </w:tc>
      </w:tr>
      <w:tr w:rsidR="005B0C9A" w:rsidRPr="00B61C40" w14:paraId="4A590528" w14:textId="77777777" w:rsidTr="007F68B4">
        <w:trPr>
          <w:trHeight w:val="1281"/>
        </w:trPr>
        <w:tc>
          <w:tcPr>
            <w:tcW w:w="1529" w:type="dxa"/>
            <w:shd w:val="clear" w:color="auto" w:fill="D9E1F3"/>
          </w:tcPr>
          <w:p w14:paraId="4A640532" w14:textId="77777777" w:rsidR="005B0C9A" w:rsidRPr="00B61C40" w:rsidRDefault="005B0C9A" w:rsidP="00056799">
            <w:pPr>
              <w:pStyle w:val="TableParagraph"/>
              <w:ind w:left="140" w:right="131"/>
              <w:jc w:val="both"/>
            </w:pPr>
            <w:r w:rsidRPr="00B61C40">
              <w:t>41</w:t>
            </w:r>
          </w:p>
        </w:tc>
        <w:tc>
          <w:tcPr>
            <w:tcW w:w="6976" w:type="dxa"/>
            <w:shd w:val="clear" w:color="auto" w:fill="D9E1F3"/>
          </w:tcPr>
          <w:p w14:paraId="76FD6AF7" w14:textId="77777777" w:rsidR="005B0C9A" w:rsidRDefault="005B0C9A" w:rsidP="00056799">
            <w:pPr>
              <w:pStyle w:val="TableParagraph"/>
              <w:numPr>
                <w:ilvl w:val="0"/>
                <w:numId w:val="11"/>
              </w:numPr>
              <w:tabs>
                <w:tab w:val="left" w:pos="685"/>
                <w:tab w:val="left" w:pos="686"/>
              </w:tabs>
              <w:spacing w:before="93" w:line="266" w:lineRule="auto"/>
              <w:ind w:right="201"/>
              <w:jc w:val="both"/>
            </w:pPr>
            <w:r w:rsidRPr="00B61C40">
              <w:t>Undertake a review of contemporary and suitable legislation from other</w:t>
            </w:r>
            <w:r w:rsidRPr="00B61C40">
              <w:rPr>
                <w:spacing w:val="-59"/>
              </w:rPr>
              <w:t xml:space="preserve"> </w:t>
            </w:r>
            <w:r w:rsidRPr="00B61C40">
              <w:t>fire jurisdictions across Australia to consider, within the Tasmanian</w:t>
            </w:r>
            <w:r w:rsidRPr="00B61C40">
              <w:rPr>
                <w:spacing w:val="1"/>
              </w:rPr>
              <w:t xml:space="preserve"> </w:t>
            </w:r>
            <w:r w:rsidRPr="00B61C40">
              <w:t>context, how best to allow a more proactive and pragmatic approach to</w:t>
            </w:r>
            <w:r w:rsidRPr="00B61C40">
              <w:rPr>
                <w:spacing w:val="-59"/>
              </w:rPr>
              <w:t xml:space="preserve"> </w:t>
            </w:r>
            <w:r w:rsidRPr="00B61C40">
              <w:t>fire</w:t>
            </w:r>
            <w:r w:rsidRPr="00B61C40">
              <w:rPr>
                <w:spacing w:val="-1"/>
              </w:rPr>
              <w:t xml:space="preserve"> </w:t>
            </w:r>
            <w:r w:rsidRPr="00B61C40">
              <w:t>safety</w:t>
            </w:r>
            <w:r w:rsidRPr="00B61C40">
              <w:rPr>
                <w:spacing w:val="1"/>
              </w:rPr>
              <w:t xml:space="preserve"> </w:t>
            </w:r>
            <w:r w:rsidRPr="00B61C40">
              <w:t>compliance</w:t>
            </w:r>
            <w:r w:rsidRPr="00B61C40">
              <w:rPr>
                <w:spacing w:val="-1"/>
              </w:rPr>
              <w:t xml:space="preserve"> </w:t>
            </w:r>
            <w:r w:rsidRPr="00B61C40">
              <w:t>in</w:t>
            </w:r>
            <w:r w:rsidRPr="00B61C40">
              <w:rPr>
                <w:spacing w:val="-2"/>
              </w:rPr>
              <w:t xml:space="preserve"> </w:t>
            </w:r>
            <w:r w:rsidRPr="00B61C40">
              <w:t>the</w:t>
            </w:r>
            <w:r w:rsidRPr="00B61C40">
              <w:rPr>
                <w:spacing w:val="-1"/>
              </w:rPr>
              <w:t xml:space="preserve"> </w:t>
            </w:r>
            <w:r w:rsidRPr="00B61C40">
              <w:t>built</w:t>
            </w:r>
            <w:r w:rsidRPr="00B61C40">
              <w:rPr>
                <w:spacing w:val="2"/>
              </w:rPr>
              <w:t xml:space="preserve"> </w:t>
            </w:r>
            <w:r w:rsidRPr="00B61C40">
              <w:t>environment.</w:t>
            </w:r>
          </w:p>
          <w:p w14:paraId="7F3F3F3A" w14:textId="77777777" w:rsidR="007C1EC5" w:rsidRDefault="007C1EC5" w:rsidP="007C1EC5">
            <w:pPr>
              <w:pStyle w:val="TableParagraph"/>
              <w:tabs>
                <w:tab w:val="left" w:pos="685"/>
                <w:tab w:val="left" w:pos="686"/>
              </w:tabs>
              <w:spacing w:before="93" w:line="266" w:lineRule="auto"/>
              <w:ind w:right="201"/>
              <w:jc w:val="both"/>
            </w:pPr>
          </w:p>
          <w:p w14:paraId="7A283C7B" w14:textId="72FD6CAE" w:rsidR="007C1EC5" w:rsidRPr="00B61C40" w:rsidRDefault="007C1EC5" w:rsidP="007C1EC5">
            <w:pPr>
              <w:pStyle w:val="TableParagraph"/>
              <w:tabs>
                <w:tab w:val="left" w:pos="685"/>
                <w:tab w:val="left" w:pos="686"/>
              </w:tabs>
              <w:spacing w:before="93" w:line="266" w:lineRule="auto"/>
              <w:ind w:right="201"/>
              <w:jc w:val="both"/>
            </w:pPr>
          </w:p>
        </w:tc>
        <w:tc>
          <w:tcPr>
            <w:tcW w:w="1134" w:type="dxa"/>
            <w:shd w:val="clear" w:color="auto" w:fill="D9E1F3"/>
          </w:tcPr>
          <w:p w14:paraId="74A53B68" w14:textId="77777777" w:rsidR="005B0C9A" w:rsidRPr="00B61C40" w:rsidRDefault="005B0C9A" w:rsidP="00056799">
            <w:pPr>
              <w:pStyle w:val="TableParagraph"/>
              <w:ind w:left="8"/>
              <w:jc w:val="both"/>
            </w:pPr>
            <w:r w:rsidRPr="00B61C40">
              <w:t>7</w:t>
            </w:r>
          </w:p>
        </w:tc>
        <w:tc>
          <w:tcPr>
            <w:tcW w:w="993" w:type="dxa"/>
            <w:shd w:val="clear" w:color="auto" w:fill="D9E1F3"/>
          </w:tcPr>
          <w:p w14:paraId="01E50763" w14:textId="02C4EC66" w:rsidR="005B0C9A" w:rsidRPr="00B61C40" w:rsidRDefault="00346F95" w:rsidP="00056799">
            <w:pPr>
              <w:pStyle w:val="TableParagraph"/>
              <w:ind w:left="148" w:right="137"/>
              <w:jc w:val="both"/>
            </w:pPr>
            <w:hyperlink w:anchor="_bookmark110" w:history="1">
              <w:r w:rsidR="005B0C9A" w:rsidRPr="00B61C40">
                <w:t>131</w:t>
              </w:r>
            </w:hyperlink>
          </w:p>
        </w:tc>
      </w:tr>
      <w:tr w:rsidR="007C1EC5" w:rsidRPr="00B61C40" w14:paraId="4BFBBECF" w14:textId="77777777" w:rsidTr="00FB408E">
        <w:trPr>
          <w:trHeight w:val="292"/>
        </w:trPr>
        <w:tc>
          <w:tcPr>
            <w:tcW w:w="8505" w:type="dxa"/>
            <w:gridSpan w:val="2"/>
            <w:vMerge w:val="restart"/>
            <w:shd w:val="clear" w:color="auto" w:fill="D9D9D9"/>
          </w:tcPr>
          <w:p w14:paraId="52F02C8E" w14:textId="77777777" w:rsidR="007C1EC5" w:rsidRPr="00B61C40" w:rsidRDefault="007C1EC5" w:rsidP="00FB408E">
            <w:pPr>
              <w:pStyle w:val="TableParagraph"/>
              <w:spacing w:before="172"/>
              <w:ind w:left="107"/>
              <w:jc w:val="both"/>
            </w:pPr>
            <w:r w:rsidRPr="00B61C40">
              <w:rPr>
                <w:color w:val="2D74B5"/>
              </w:rPr>
              <w:lastRenderedPageBreak/>
              <w:t>Recommendation</w:t>
            </w:r>
          </w:p>
        </w:tc>
        <w:tc>
          <w:tcPr>
            <w:tcW w:w="2127" w:type="dxa"/>
            <w:gridSpan w:val="2"/>
            <w:shd w:val="clear" w:color="auto" w:fill="D9D9D9"/>
          </w:tcPr>
          <w:p w14:paraId="62EA278A" w14:textId="77777777" w:rsidR="007C1EC5" w:rsidRPr="00B61C40" w:rsidRDefault="007C1EC5" w:rsidP="00FB408E">
            <w:pPr>
              <w:pStyle w:val="TableParagraph"/>
              <w:spacing w:before="21" w:line="251" w:lineRule="exact"/>
              <w:ind w:left="292"/>
              <w:jc w:val="both"/>
            </w:pPr>
            <w:r w:rsidRPr="00B61C40">
              <w:rPr>
                <w:color w:val="2D74B5"/>
              </w:rPr>
              <w:t>See</w:t>
            </w:r>
            <w:r w:rsidRPr="00B61C40">
              <w:rPr>
                <w:color w:val="2D74B5"/>
                <w:spacing w:val="-1"/>
              </w:rPr>
              <w:t xml:space="preserve"> </w:t>
            </w:r>
            <w:r w:rsidRPr="00B61C40">
              <w:rPr>
                <w:color w:val="2D74B5"/>
              </w:rPr>
              <w:t>Report</w:t>
            </w:r>
          </w:p>
        </w:tc>
      </w:tr>
      <w:tr w:rsidR="007C1EC5" w:rsidRPr="00B61C40" w14:paraId="38B88749" w14:textId="77777777" w:rsidTr="00FB408E">
        <w:trPr>
          <w:trHeight w:val="292"/>
        </w:trPr>
        <w:tc>
          <w:tcPr>
            <w:tcW w:w="8505" w:type="dxa"/>
            <w:gridSpan w:val="2"/>
            <w:vMerge/>
            <w:tcBorders>
              <w:top w:val="nil"/>
            </w:tcBorders>
            <w:shd w:val="clear" w:color="auto" w:fill="D9D9D9"/>
          </w:tcPr>
          <w:p w14:paraId="13D3F7B3" w14:textId="77777777" w:rsidR="007C1EC5" w:rsidRPr="00B61C40" w:rsidRDefault="007C1EC5" w:rsidP="00FB408E">
            <w:pPr>
              <w:jc w:val="both"/>
              <w:rPr>
                <w:rFonts w:ascii="Arial" w:hAnsi="Arial" w:cs="Arial"/>
                <w:sz w:val="22"/>
                <w:szCs w:val="22"/>
              </w:rPr>
            </w:pPr>
          </w:p>
        </w:tc>
        <w:tc>
          <w:tcPr>
            <w:tcW w:w="1134" w:type="dxa"/>
            <w:shd w:val="clear" w:color="auto" w:fill="D9D9D9"/>
          </w:tcPr>
          <w:p w14:paraId="45D2421A" w14:textId="77777777" w:rsidR="007C1EC5" w:rsidRPr="00B61C40" w:rsidRDefault="007C1EC5" w:rsidP="00FB408E">
            <w:pPr>
              <w:pStyle w:val="TableParagraph"/>
              <w:spacing w:before="21" w:line="251" w:lineRule="exact"/>
              <w:ind w:left="33" w:right="32"/>
              <w:jc w:val="both"/>
            </w:pPr>
            <w:r w:rsidRPr="00B61C40">
              <w:rPr>
                <w:color w:val="2D74B5"/>
              </w:rPr>
              <w:t>Section</w:t>
            </w:r>
          </w:p>
        </w:tc>
        <w:tc>
          <w:tcPr>
            <w:tcW w:w="993" w:type="dxa"/>
            <w:shd w:val="clear" w:color="auto" w:fill="D9D9D9"/>
          </w:tcPr>
          <w:p w14:paraId="2E3EC280" w14:textId="77777777" w:rsidR="007C1EC5" w:rsidRPr="00B61C40" w:rsidRDefault="007C1EC5" w:rsidP="00FB408E">
            <w:pPr>
              <w:pStyle w:val="TableParagraph"/>
              <w:spacing w:before="21" w:line="251" w:lineRule="exact"/>
              <w:ind w:left="148" w:right="139"/>
              <w:jc w:val="both"/>
            </w:pPr>
            <w:r w:rsidRPr="00B61C40">
              <w:rPr>
                <w:color w:val="2D74B5"/>
              </w:rPr>
              <w:t>Page</w:t>
            </w:r>
          </w:p>
        </w:tc>
      </w:tr>
      <w:tr w:rsidR="005B0C9A" w:rsidRPr="00B61C40" w14:paraId="10E925E8" w14:textId="77777777" w:rsidTr="007F68B4">
        <w:trPr>
          <w:trHeight w:val="3400"/>
        </w:trPr>
        <w:tc>
          <w:tcPr>
            <w:tcW w:w="1529" w:type="dxa"/>
            <w:shd w:val="clear" w:color="auto" w:fill="D9E1F3"/>
          </w:tcPr>
          <w:p w14:paraId="700EC241" w14:textId="77777777" w:rsidR="005B0C9A" w:rsidRPr="00B61C40" w:rsidRDefault="005B0C9A" w:rsidP="00056799">
            <w:pPr>
              <w:pStyle w:val="TableParagraph"/>
              <w:ind w:left="140" w:right="131"/>
              <w:jc w:val="both"/>
            </w:pPr>
            <w:r w:rsidRPr="00B61C40">
              <w:t>42</w:t>
            </w:r>
          </w:p>
        </w:tc>
        <w:tc>
          <w:tcPr>
            <w:tcW w:w="6976" w:type="dxa"/>
            <w:shd w:val="clear" w:color="auto" w:fill="D9E1F3"/>
          </w:tcPr>
          <w:p w14:paraId="013F1CFF" w14:textId="77777777" w:rsidR="005B0C9A" w:rsidRPr="00B61C40" w:rsidRDefault="005B0C9A" w:rsidP="00056799">
            <w:pPr>
              <w:pStyle w:val="TableParagraph"/>
              <w:numPr>
                <w:ilvl w:val="0"/>
                <w:numId w:val="10"/>
              </w:numPr>
              <w:tabs>
                <w:tab w:val="left" w:pos="685"/>
                <w:tab w:val="left" w:pos="686"/>
              </w:tabs>
              <w:spacing w:before="93" w:line="264" w:lineRule="auto"/>
              <w:ind w:right="435"/>
              <w:jc w:val="both"/>
            </w:pPr>
            <w:r w:rsidRPr="00B61C40">
              <w:t xml:space="preserve">Draft new legislation to replace the </w:t>
            </w:r>
            <w:r w:rsidRPr="00B61C40">
              <w:rPr>
                <w:i/>
              </w:rPr>
              <w:t>Fire Service Act 1979</w:t>
            </w:r>
            <w:r w:rsidRPr="00B61C40">
              <w:t>, keeping in</w:t>
            </w:r>
            <w:r w:rsidRPr="00B61C40">
              <w:rPr>
                <w:spacing w:val="-59"/>
              </w:rPr>
              <w:t xml:space="preserve"> </w:t>
            </w:r>
            <w:r w:rsidRPr="00B61C40">
              <w:t>mind</w:t>
            </w:r>
            <w:r w:rsidRPr="00B61C40">
              <w:rPr>
                <w:spacing w:val="-1"/>
              </w:rPr>
              <w:t xml:space="preserve"> </w:t>
            </w:r>
            <w:r w:rsidRPr="00B61C40">
              <w:t>that:</w:t>
            </w:r>
          </w:p>
          <w:p w14:paraId="6D480CF8" w14:textId="77777777" w:rsidR="005B0C9A" w:rsidRPr="00B61C40" w:rsidRDefault="005B0C9A" w:rsidP="00056799">
            <w:pPr>
              <w:pStyle w:val="TableParagraph"/>
              <w:numPr>
                <w:ilvl w:val="1"/>
                <w:numId w:val="10"/>
              </w:numPr>
              <w:tabs>
                <w:tab w:val="left" w:pos="1270"/>
              </w:tabs>
              <w:spacing w:before="81" w:line="259" w:lineRule="auto"/>
              <w:ind w:right="256"/>
              <w:jc w:val="both"/>
            </w:pPr>
            <w:r w:rsidRPr="00B61C40">
              <w:t>in order for any proposed legislation to be contemporary, flexible</w:t>
            </w:r>
            <w:r w:rsidRPr="00B61C40">
              <w:rPr>
                <w:spacing w:val="-60"/>
              </w:rPr>
              <w:t xml:space="preserve"> </w:t>
            </w:r>
            <w:r w:rsidRPr="00B61C40">
              <w:t>and sufficiently forward-looking, it needs to be principles-based,</w:t>
            </w:r>
            <w:r w:rsidRPr="00B61C40">
              <w:rPr>
                <w:spacing w:val="1"/>
              </w:rPr>
              <w:t xml:space="preserve"> </w:t>
            </w:r>
            <w:r w:rsidRPr="00B61C40">
              <w:t>providing a Head of Power to Tasmania Fire and Emergency</w:t>
            </w:r>
            <w:r w:rsidRPr="00B61C40">
              <w:rPr>
                <w:spacing w:val="1"/>
              </w:rPr>
              <w:t xml:space="preserve"> </w:t>
            </w:r>
            <w:r w:rsidRPr="00B61C40">
              <w:t>Services (TFES)</w:t>
            </w:r>
          </w:p>
          <w:p w14:paraId="002677FD" w14:textId="77777777" w:rsidR="005B0C9A" w:rsidRPr="00B61C40" w:rsidRDefault="005B0C9A" w:rsidP="00056799">
            <w:pPr>
              <w:pStyle w:val="TableParagraph"/>
              <w:numPr>
                <w:ilvl w:val="1"/>
                <w:numId w:val="10"/>
              </w:numPr>
              <w:tabs>
                <w:tab w:val="left" w:pos="1270"/>
              </w:tabs>
              <w:spacing w:before="87" w:line="261" w:lineRule="auto"/>
              <w:ind w:right="131"/>
              <w:jc w:val="both"/>
            </w:pPr>
            <w:r w:rsidRPr="00B61C40">
              <w:t>the functions and mandate of the new entity should deliver an</w:t>
            </w:r>
            <w:r w:rsidRPr="00B61C40">
              <w:rPr>
                <w:spacing w:val="1"/>
              </w:rPr>
              <w:t xml:space="preserve"> </w:t>
            </w:r>
            <w:r w:rsidRPr="00B61C40">
              <w:t>authorising and enabling environment facilitating a broad range of</w:t>
            </w:r>
            <w:r w:rsidRPr="00B61C40">
              <w:rPr>
                <w:spacing w:val="-59"/>
              </w:rPr>
              <w:t xml:space="preserve"> </w:t>
            </w:r>
            <w:r w:rsidRPr="00B61C40">
              <w:t>fire and prescribed non-fire related emergency services activities,</w:t>
            </w:r>
            <w:r w:rsidRPr="00B61C40">
              <w:rPr>
                <w:spacing w:val="-59"/>
              </w:rPr>
              <w:t xml:space="preserve"> </w:t>
            </w:r>
            <w:r w:rsidRPr="00B61C40">
              <w:t>including multi-hazard, that are aligned with and support the</w:t>
            </w:r>
            <w:r w:rsidRPr="00B61C40">
              <w:rPr>
                <w:spacing w:val="1"/>
              </w:rPr>
              <w:t xml:space="preserve"> </w:t>
            </w:r>
            <w:r w:rsidRPr="00B61C40">
              <w:rPr>
                <w:i/>
              </w:rPr>
              <w:t>Emergency</w:t>
            </w:r>
            <w:r w:rsidRPr="00B61C40">
              <w:rPr>
                <w:i/>
                <w:spacing w:val="-3"/>
              </w:rPr>
              <w:t xml:space="preserve"> </w:t>
            </w:r>
            <w:r w:rsidRPr="00B61C40">
              <w:rPr>
                <w:i/>
              </w:rPr>
              <w:t>Management</w:t>
            </w:r>
            <w:r w:rsidRPr="00B61C40">
              <w:rPr>
                <w:i/>
                <w:spacing w:val="2"/>
              </w:rPr>
              <w:t xml:space="preserve"> </w:t>
            </w:r>
            <w:r w:rsidRPr="00B61C40">
              <w:rPr>
                <w:i/>
              </w:rPr>
              <w:t>Act</w:t>
            </w:r>
            <w:r w:rsidRPr="00B61C40">
              <w:rPr>
                <w:i/>
                <w:spacing w:val="2"/>
              </w:rPr>
              <w:t xml:space="preserve"> </w:t>
            </w:r>
            <w:r w:rsidRPr="00B61C40">
              <w:rPr>
                <w:i/>
              </w:rPr>
              <w:t>2006</w:t>
            </w:r>
            <w:r w:rsidRPr="00B61C40">
              <w:rPr>
                <w:i/>
                <w:spacing w:val="-1"/>
              </w:rPr>
              <w:t xml:space="preserve"> </w:t>
            </w:r>
            <w:r w:rsidRPr="00B61C40">
              <w:t>in legislation.</w:t>
            </w:r>
          </w:p>
        </w:tc>
        <w:tc>
          <w:tcPr>
            <w:tcW w:w="1134" w:type="dxa"/>
            <w:shd w:val="clear" w:color="auto" w:fill="D9E1F3"/>
          </w:tcPr>
          <w:p w14:paraId="5ED5E785" w14:textId="77777777" w:rsidR="005B0C9A" w:rsidRPr="00B61C40" w:rsidRDefault="005B0C9A" w:rsidP="00056799">
            <w:pPr>
              <w:pStyle w:val="TableParagraph"/>
              <w:ind w:left="8"/>
              <w:jc w:val="both"/>
            </w:pPr>
            <w:r w:rsidRPr="00B61C40">
              <w:t>8</w:t>
            </w:r>
          </w:p>
        </w:tc>
        <w:tc>
          <w:tcPr>
            <w:tcW w:w="993" w:type="dxa"/>
            <w:shd w:val="clear" w:color="auto" w:fill="D9E1F3"/>
          </w:tcPr>
          <w:p w14:paraId="4F1FC584" w14:textId="57ADB1C9" w:rsidR="005B0C9A" w:rsidRPr="00B61C40" w:rsidRDefault="00346F95" w:rsidP="00056799">
            <w:pPr>
              <w:pStyle w:val="TableParagraph"/>
              <w:ind w:left="148" w:right="137"/>
              <w:jc w:val="both"/>
            </w:pPr>
            <w:hyperlink w:anchor="_bookmark115" w:history="1">
              <w:r w:rsidR="005B0C9A" w:rsidRPr="00B61C40">
                <w:t>135</w:t>
              </w:r>
            </w:hyperlink>
          </w:p>
        </w:tc>
      </w:tr>
      <w:tr w:rsidR="005B0C9A" w:rsidRPr="00B61C40" w14:paraId="32D21B08" w14:textId="77777777" w:rsidTr="007F68B4">
        <w:trPr>
          <w:trHeight w:val="1281"/>
        </w:trPr>
        <w:tc>
          <w:tcPr>
            <w:tcW w:w="1529" w:type="dxa"/>
            <w:shd w:val="clear" w:color="auto" w:fill="D9E1F3"/>
          </w:tcPr>
          <w:p w14:paraId="5B5FFDA9" w14:textId="77777777" w:rsidR="005B0C9A" w:rsidRPr="00B61C40" w:rsidRDefault="005B0C9A" w:rsidP="00056799">
            <w:pPr>
              <w:pStyle w:val="TableParagraph"/>
              <w:ind w:left="140" w:right="131"/>
              <w:jc w:val="both"/>
            </w:pPr>
            <w:r w:rsidRPr="00B61C40">
              <w:t>43</w:t>
            </w:r>
          </w:p>
        </w:tc>
        <w:tc>
          <w:tcPr>
            <w:tcW w:w="6976" w:type="dxa"/>
            <w:shd w:val="clear" w:color="auto" w:fill="D9E1F3"/>
          </w:tcPr>
          <w:p w14:paraId="0C932812" w14:textId="77777777" w:rsidR="005B0C9A" w:rsidRPr="00B61C40" w:rsidRDefault="005B0C9A" w:rsidP="00056799">
            <w:pPr>
              <w:pStyle w:val="TableParagraph"/>
              <w:numPr>
                <w:ilvl w:val="0"/>
                <w:numId w:val="9"/>
              </w:numPr>
              <w:tabs>
                <w:tab w:val="left" w:pos="685"/>
                <w:tab w:val="left" w:pos="686"/>
              </w:tabs>
              <w:spacing w:before="93" w:line="266" w:lineRule="auto"/>
              <w:ind w:right="106"/>
              <w:jc w:val="both"/>
            </w:pPr>
            <w:r w:rsidRPr="00B61C40">
              <w:t>Legislate to make provision for a secondary process to change or add</w:t>
            </w:r>
            <w:r w:rsidRPr="00B61C40">
              <w:rPr>
                <w:spacing w:val="1"/>
              </w:rPr>
              <w:t xml:space="preserve"> </w:t>
            </w:r>
            <w:r w:rsidRPr="00B61C40">
              <w:t>mandated functions in the future without the need to amend legislation,</w:t>
            </w:r>
            <w:r w:rsidRPr="00B61C40">
              <w:rPr>
                <w:spacing w:val="1"/>
              </w:rPr>
              <w:t xml:space="preserve"> </w:t>
            </w:r>
            <w:r w:rsidRPr="00B61C40">
              <w:t>but</w:t>
            </w:r>
            <w:r w:rsidRPr="00B61C40">
              <w:rPr>
                <w:spacing w:val="1"/>
              </w:rPr>
              <w:t xml:space="preserve"> </w:t>
            </w:r>
            <w:r w:rsidRPr="00B61C40">
              <w:t>on</w:t>
            </w:r>
            <w:r w:rsidRPr="00B61C40">
              <w:rPr>
                <w:spacing w:val="-3"/>
              </w:rPr>
              <w:t xml:space="preserve"> </w:t>
            </w:r>
            <w:r w:rsidRPr="00B61C40">
              <w:t>the</w:t>
            </w:r>
            <w:r w:rsidRPr="00B61C40">
              <w:rPr>
                <w:spacing w:val="-3"/>
              </w:rPr>
              <w:t xml:space="preserve"> </w:t>
            </w:r>
            <w:r w:rsidRPr="00B61C40">
              <w:t>proviso</w:t>
            </w:r>
            <w:r w:rsidRPr="00B61C40">
              <w:rPr>
                <w:spacing w:val="-2"/>
              </w:rPr>
              <w:t xml:space="preserve"> </w:t>
            </w:r>
            <w:r w:rsidRPr="00B61C40">
              <w:t>that</w:t>
            </w:r>
            <w:r w:rsidRPr="00B61C40">
              <w:rPr>
                <w:spacing w:val="-2"/>
              </w:rPr>
              <w:t xml:space="preserve"> </w:t>
            </w:r>
            <w:r w:rsidRPr="00B61C40">
              <w:t>the</w:t>
            </w:r>
            <w:r w:rsidRPr="00B61C40">
              <w:rPr>
                <w:spacing w:val="-1"/>
              </w:rPr>
              <w:t xml:space="preserve"> </w:t>
            </w:r>
            <w:r w:rsidRPr="00B61C40">
              <w:t>core</w:t>
            </w:r>
            <w:r w:rsidRPr="00B61C40">
              <w:rPr>
                <w:spacing w:val="-2"/>
              </w:rPr>
              <w:t xml:space="preserve"> </w:t>
            </w:r>
            <w:r w:rsidRPr="00B61C40">
              <w:t>legislation</w:t>
            </w:r>
            <w:r w:rsidRPr="00B61C40">
              <w:rPr>
                <w:spacing w:val="-1"/>
              </w:rPr>
              <w:t xml:space="preserve"> </w:t>
            </w:r>
            <w:r w:rsidRPr="00B61C40">
              <w:t>cannot</w:t>
            </w:r>
            <w:r w:rsidRPr="00B61C40">
              <w:rPr>
                <w:spacing w:val="-4"/>
              </w:rPr>
              <w:t xml:space="preserve"> </w:t>
            </w:r>
            <w:r w:rsidRPr="00B61C40">
              <w:t>be undone</w:t>
            </w:r>
            <w:r w:rsidRPr="00B61C40">
              <w:rPr>
                <w:spacing w:val="-1"/>
              </w:rPr>
              <w:t xml:space="preserve"> </w:t>
            </w:r>
            <w:r w:rsidRPr="00B61C40">
              <w:t>without</w:t>
            </w:r>
            <w:r w:rsidRPr="00B61C40">
              <w:rPr>
                <w:spacing w:val="-2"/>
              </w:rPr>
              <w:t xml:space="preserve"> </w:t>
            </w:r>
            <w:r w:rsidRPr="00B61C40">
              <w:t>full</w:t>
            </w:r>
            <w:r w:rsidRPr="00B61C40">
              <w:rPr>
                <w:spacing w:val="-58"/>
              </w:rPr>
              <w:t xml:space="preserve"> </w:t>
            </w:r>
            <w:r w:rsidRPr="00B61C40">
              <w:t>review</w:t>
            </w:r>
            <w:r w:rsidRPr="00B61C40">
              <w:rPr>
                <w:spacing w:val="-2"/>
              </w:rPr>
              <w:t xml:space="preserve"> </w:t>
            </w:r>
            <w:r w:rsidRPr="00B61C40">
              <w:t>by</w:t>
            </w:r>
            <w:r w:rsidRPr="00B61C40">
              <w:rPr>
                <w:spacing w:val="-2"/>
              </w:rPr>
              <w:t xml:space="preserve"> </w:t>
            </w:r>
            <w:r w:rsidRPr="00B61C40">
              <w:t>the Parliament,</w:t>
            </w:r>
            <w:r w:rsidRPr="00B61C40">
              <w:rPr>
                <w:spacing w:val="1"/>
              </w:rPr>
              <w:t xml:space="preserve"> </w:t>
            </w:r>
            <w:r w:rsidRPr="00B61C40">
              <w:t>and</w:t>
            </w:r>
            <w:r w:rsidRPr="00B61C40">
              <w:rPr>
                <w:spacing w:val="-2"/>
              </w:rPr>
              <w:t xml:space="preserve"> </w:t>
            </w:r>
            <w:r w:rsidRPr="00B61C40">
              <w:t>with</w:t>
            </w:r>
            <w:r w:rsidRPr="00B61C40">
              <w:rPr>
                <w:spacing w:val="1"/>
              </w:rPr>
              <w:t xml:space="preserve"> </w:t>
            </w:r>
            <w:r w:rsidRPr="00B61C40">
              <w:t>public</w:t>
            </w:r>
            <w:r w:rsidRPr="00B61C40">
              <w:rPr>
                <w:spacing w:val="1"/>
              </w:rPr>
              <w:t xml:space="preserve"> </w:t>
            </w:r>
            <w:r w:rsidRPr="00B61C40">
              <w:t>input.</w:t>
            </w:r>
          </w:p>
        </w:tc>
        <w:tc>
          <w:tcPr>
            <w:tcW w:w="1134" w:type="dxa"/>
            <w:shd w:val="clear" w:color="auto" w:fill="D9E1F3"/>
          </w:tcPr>
          <w:p w14:paraId="0474EEB1" w14:textId="77777777" w:rsidR="005B0C9A" w:rsidRPr="00B61C40" w:rsidRDefault="005B0C9A" w:rsidP="00056799">
            <w:pPr>
              <w:pStyle w:val="TableParagraph"/>
              <w:ind w:left="8"/>
              <w:jc w:val="both"/>
            </w:pPr>
            <w:r w:rsidRPr="00B61C40">
              <w:t>8</w:t>
            </w:r>
          </w:p>
        </w:tc>
        <w:tc>
          <w:tcPr>
            <w:tcW w:w="993" w:type="dxa"/>
            <w:shd w:val="clear" w:color="auto" w:fill="D9E1F3"/>
          </w:tcPr>
          <w:p w14:paraId="14F5BFF7" w14:textId="3D8A56B8" w:rsidR="005B0C9A" w:rsidRPr="00B61C40" w:rsidRDefault="00346F95" w:rsidP="00056799">
            <w:pPr>
              <w:pStyle w:val="TableParagraph"/>
              <w:ind w:left="148" w:right="137"/>
              <w:jc w:val="both"/>
            </w:pPr>
            <w:hyperlink w:anchor="_bookmark119" w:history="1">
              <w:r w:rsidR="005B0C9A" w:rsidRPr="00B61C40">
                <w:t>139</w:t>
              </w:r>
            </w:hyperlink>
          </w:p>
        </w:tc>
      </w:tr>
      <w:tr w:rsidR="005B0C9A" w:rsidRPr="00B61C40" w14:paraId="25D2CAB5" w14:textId="77777777" w:rsidTr="007F68B4">
        <w:trPr>
          <w:trHeight w:val="4838"/>
        </w:trPr>
        <w:tc>
          <w:tcPr>
            <w:tcW w:w="1529" w:type="dxa"/>
            <w:shd w:val="clear" w:color="auto" w:fill="D9E1F3"/>
          </w:tcPr>
          <w:p w14:paraId="4163D381" w14:textId="77777777" w:rsidR="005B0C9A" w:rsidRPr="00B61C40" w:rsidRDefault="005B0C9A" w:rsidP="00056799">
            <w:pPr>
              <w:pStyle w:val="TableParagraph"/>
              <w:ind w:left="140" w:right="131"/>
              <w:jc w:val="both"/>
            </w:pPr>
            <w:r w:rsidRPr="00B61C40">
              <w:t>44</w:t>
            </w:r>
          </w:p>
        </w:tc>
        <w:tc>
          <w:tcPr>
            <w:tcW w:w="6976" w:type="dxa"/>
            <w:shd w:val="clear" w:color="auto" w:fill="D9E1F3"/>
          </w:tcPr>
          <w:p w14:paraId="2DB5CE49" w14:textId="77777777" w:rsidR="005B0C9A" w:rsidRPr="00B61C40" w:rsidRDefault="005B0C9A" w:rsidP="00056799">
            <w:pPr>
              <w:pStyle w:val="TableParagraph"/>
              <w:numPr>
                <w:ilvl w:val="0"/>
                <w:numId w:val="8"/>
              </w:numPr>
              <w:tabs>
                <w:tab w:val="left" w:pos="685"/>
                <w:tab w:val="left" w:pos="686"/>
              </w:tabs>
              <w:spacing w:before="93" w:line="264" w:lineRule="auto"/>
              <w:ind w:right="386"/>
              <w:jc w:val="both"/>
            </w:pPr>
            <w:r w:rsidRPr="00B61C40">
              <w:t>Develop new legislation to establish an integrated fire and prescribed</w:t>
            </w:r>
            <w:r w:rsidRPr="00B61C40">
              <w:rPr>
                <w:spacing w:val="-60"/>
              </w:rPr>
              <w:t xml:space="preserve"> </w:t>
            </w:r>
            <w:r w:rsidRPr="00B61C40">
              <w:t>emergency</w:t>
            </w:r>
            <w:r w:rsidRPr="00B61C40">
              <w:rPr>
                <w:spacing w:val="-1"/>
              </w:rPr>
              <w:t xml:space="preserve"> </w:t>
            </w:r>
            <w:r w:rsidRPr="00B61C40">
              <w:t>services</w:t>
            </w:r>
            <w:r w:rsidRPr="00B61C40">
              <w:rPr>
                <w:spacing w:val="1"/>
              </w:rPr>
              <w:t xml:space="preserve"> </w:t>
            </w:r>
            <w:r w:rsidRPr="00B61C40">
              <w:t>entity,</w:t>
            </w:r>
            <w:r w:rsidRPr="00B61C40">
              <w:rPr>
                <w:spacing w:val="-2"/>
              </w:rPr>
              <w:t xml:space="preserve"> </w:t>
            </w:r>
            <w:r w:rsidRPr="00B61C40">
              <w:t>the</w:t>
            </w:r>
            <w:r w:rsidRPr="00B61C40">
              <w:rPr>
                <w:spacing w:val="-1"/>
              </w:rPr>
              <w:t xml:space="preserve"> </w:t>
            </w:r>
            <w:r w:rsidRPr="00B61C40">
              <w:t>principal</w:t>
            </w:r>
            <w:r w:rsidRPr="00B61C40">
              <w:rPr>
                <w:spacing w:val="-2"/>
              </w:rPr>
              <w:t xml:space="preserve"> </w:t>
            </w:r>
            <w:r w:rsidRPr="00B61C40">
              <w:t>objectives of</w:t>
            </w:r>
            <w:r w:rsidRPr="00B61C40">
              <w:rPr>
                <w:spacing w:val="-2"/>
              </w:rPr>
              <w:t xml:space="preserve"> </w:t>
            </w:r>
            <w:r w:rsidRPr="00B61C40">
              <w:t>which</w:t>
            </w:r>
            <w:r w:rsidRPr="00B61C40">
              <w:rPr>
                <w:spacing w:val="-1"/>
              </w:rPr>
              <w:t xml:space="preserve"> </w:t>
            </w:r>
            <w:r w:rsidRPr="00B61C40">
              <w:t>are:</w:t>
            </w:r>
          </w:p>
          <w:p w14:paraId="32B798DE" w14:textId="77777777" w:rsidR="005B0C9A" w:rsidRPr="00B61C40" w:rsidRDefault="005B0C9A" w:rsidP="00056799">
            <w:pPr>
              <w:pStyle w:val="TableParagraph"/>
              <w:numPr>
                <w:ilvl w:val="1"/>
                <w:numId w:val="8"/>
              </w:numPr>
              <w:tabs>
                <w:tab w:val="left" w:pos="1270"/>
              </w:tabs>
              <w:spacing w:before="81"/>
              <w:ind w:hanging="426"/>
              <w:jc w:val="both"/>
            </w:pPr>
            <w:r w:rsidRPr="00B61C40">
              <w:t>to</w:t>
            </w:r>
            <w:r w:rsidRPr="00B61C40">
              <w:rPr>
                <w:spacing w:val="-2"/>
              </w:rPr>
              <w:t xml:space="preserve"> </w:t>
            </w:r>
            <w:r w:rsidRPr="00B61C40">
              <w:t>preserve</w:t>
            </w:r>
            <w:r w:rsidRPr="00B61C40">
              <w:rPr>
                <w:spacing w:val="-3"/>
              </w:rPr>
              <w:t xml:space="preserve"> </w:t>
            </w:r>
            <w:r w:rsidRPr="00B61C40">
              <w:t>human</w:t>
            </w:r>
            <w:r w:rsidRPr="00B61C40">
              <w:rPr>
                <w:spacing w:val="-1"/>
              </w:rPr>
              <w:t xml:space="preserve"> </w:t>
            </w:r>
            <w:r w:rsidRPr="00B61C40">
              <w:t>life</w:t>
            </w:r>
          </w:p>
          <w:p w14:paraId="48704807" w14:textId="77777777" w:rsidR="005B0C9A" w:rsidRPr="00B61C40" w:rsidRDefault="005B0C9A" w:rsidP="00056799">
            <w:pPr>
              <w:pStyle w:val="TableParagraph"/>
              <w:numPr>
                <w:ilvl w:val="1"/>
                <w:numId w:val="8"/>
              </w:numPr>
              <w:tabs>
                <w:tab w:val="left" w:pos="1270"/>
              </w:tabs>
              <w:spacing w:before="85" w:line="256" w:lineRule="auto"/>
              <w:ind w:right="181"/>
              <w:jc w:val="both"/>
            </w:pPr>
            <w:r w:rsidRPr="00B61C40">
              <w:t>to build resilient communities that actively participate in</w:t>
            </w:r>
            <w:r w:rsidRPr="00B61C40">
              <w:rPr>
                <w:spacing w:val="1"/>
              </w:rPr>
              <w:t xml:space="preserve"> </w:t>
            </w:r>
            <w:r w:rsidRPr="00B61C40">
              <w:t>prevention, preparedness and response to fire and other relevant</w:t>
            </w:r>
            <w:r w:rsidRPr="00B61C40">
              <w:rPr>
                <w:spacing w:val="-59"/>
              </w:rPr>
              <w:t xml:space="preserve"> </w:t>
            </w:r>
            <w:r w:rsidRPr="00B61C40">
              <w:t>emergencies</w:t>
            </w:r>
          </w:p>
          <w:p w14:paraId="1688040B" w14:textId="77777777" w:rsidR="005B0C9A" w:rsidRPr="00B61C40" w:rsidRDefault="005B0C9A" w:rsidP="00056799">
            <w:pPr>
              <w:pStyle w:val="TableParagraph"/>
              <w:numPr>
                <w:ilvl w:val="1"/>
                <w:numId w:val="8"/>
              </w:numPr>
              <w:tabs>
                <w:tab w:val="left" w:pos="1270"/>
              </w:tabs>
              <w:spacing w:before="90" w:line="256" w:lineRule="auto"/>
              <w:ind w:right="253"/>
              <w:jc w:val="both"/>
            </w:pPr>
            <w:r w:rsidRPr="00B61C40">
              <w:t>to limit the economic, environmental (including climate change),</w:t>
            </w:r>
            <w:r w:rsidRPr="00B61C40">
              <w:rPr>
                <w:spacing w:val="1"/>
              </w:rPr>
              <w:t xml:space="preserve"> </w:t>
            </w:r>
            <w:r w:rsidRPr="00B61C40">
              <w:t>social and physical impacts of fire and other emergencies on the</w:t>
            </w:r>
            <w:r w:rsidRPr="00B61C40">
              <w:rPr>
                <w:spacing w:val="-59"/>
              </w:rPr>
              <w:t xml:space="preserve"> </w:t>
            </w:r>
            <w:r w:rsidRPr="00B61C40">
              <w:t>Tasmanian</w:t>
            </w:r>
            <w:r w:rsidRPr="00B61C40">
              <w:rPr>
                <w:spacing w:val="-1"/>
              </w:rPr>
              <w:t xml:space="preserve"> </w:t>
            </w:r>
            <w:r w:rsidRPr="00B61C40">
              <w:t>community</w:t>
            </w:r>
          </w:p>
          <w:p w14:paraId="7B0FE91E" w14:textId="77777777" w:rsidR="005B0C9A" w:rsidRPr="00B61C40" w:rsidRDefault="005B0C9A" w:rsidP="00056799">
            <w:pPr>
              <w:pStyle w:val="TableParagraph"/>
              <w:numPr>
                <w:ilvl w:val="1"/>
                <w:numId w:val="8"/>
              </w:numPr>
              <w:tabs>
                <w:tab w:val="left" w:pos="1270"/>
              </w:tabs>
              <w:spacing w:before="88" w:line="247" w:lineRule="auto"/>
              <w:ind w:right="692"/>
              <w:jc w:val="both"/>
            </w:pPr>
            <w:r w:rsidRPr="00B61C40">
              <w:t>to recognise that our environment has inherent value for the</w:t>
            </w:r>
            <w:r w:rsidRPr="00B61C40">
              <w:rPr>
                <w:spacing w:val="-59"/>
              </w:rPr>
              <w:t xml:space="preserve"> </w:t>
            </w:r>
            <w:r w:rsidRPr="00B61C40">
              <w:t>Tasmanian</w:t>
            </w:r>
            <w:r w:rsidRPr="00B61C40">
              <w:rPr>
                <w:spacing w:val="-1"/>
              </w:rPr>
              <w:t xml:space="preserve"> </w:t>
            </w:r>
            <w:r w:rsidRPr="00B61C40">
              <w:t>community</w:t>
            </w:r>
          </w:p>
          <w:p w14:paraId="2C6F1CE9" w14:textId="77777777" w:rsidR="005B0C9A" w:rsidRPr="00B61C40" w:rsidRDefault="005B0C9A" w:rsidP="00056799">
            <w:pPr>
              <w:pStyle w:val="TableParagraph"/>
              <w:numPr>
                <w:ilvl w:val="1"/>
                <w:numId w:val="8"/>
              </w:numPr>
              <w:tabs>
                <w:tab w:val="left" w:pos="1270"/>
              </w:tabs>
              <w:spacing w:before="100" w:line="247" w:lineRule="auto"/>
              <w:ind w:right="108"/>
              <w:jc w:val="both"/>
            </w:pPr>
            <w:r w:rsidRPr="00B61C40">
              <w:t>to ensure/facilitate effective inter-agency interoperability both inter</w:t>
            </w:r>
            <w:r w:rsidRPr="00B61C40">
              <w:rPr>
                <w:spacing w:val="-59"/>
              </w:rPr>
              <w:t xml:space="preserve"> </w:t>
            </w:r>
            <w:r w:rsidRPr="00B61C40">
              <w:t>and</w:t>
            </w:r>
            <w:r w:rsidRPr="00B61C40">
              <w:rPr>
                <w:spacing w:val="-1"/>
              </w:rPr>
              <w:t xml:space="preserve"> </w:t>
            </w:r>
            <w:r w:rsidRPr="00B61C40">
              <w:t>intra</w:t>
            </w:r>
            <w:r w:rsidRPr="00B61C40">
              <w:rPr>
                <w:spacing w:val="-2"/>
              </w:rPr>
              <w:t xml:space="preserve"> </w:t>
            </w:r>
            <w:r w:rsidRPr="00B61C40">
              <w:t>State.</w:t>
            </w:r>
          </w:p>
          <w:p w14:paraId="3DB4D79C" w14:textId="77777777" w:rsidR="005B0C9A" w:rsidRPr="00B61C40" w:rsidRDefault="005B0C9A" w:rsidP="00056799">
            <w:pPr>
              <w:pStyle w:val="TableParagraph"/>
              <w:numPr>
                <w:ilvl w:val="0"/>
                <w:numId w:val="8"/>
              </w:numPr>
              <w:tabs>
                <w:tab w:val="left" w:pos="685"/>
                <w:tab w:val="left" w:pos="686"/>
              </w:tabs>
              <w:spacing w:before="83" w:line="264" w:lineRule="auto"/>
              <w:ind w:right="420"/>
              <w:jc w:val="both"/>
            </w:pPr>
            <w:r w:rsidRPr="00B61C40">
              <w:t xml:space="preserve">Clarify, in the new legislation, that the proposed entity is </w:t>
            </w:r>
            <w:r w:rsidRPr="00B61C40">
              <w:rPr>
                <w:b/>
              </w:rPr>
              <w:t xml:space="preserve">not </w:t>
            </w:r>
            <w:r w:rsidRPr="00B61C40">
              <w:t>the lead</w:t>
            </w:r>
            <w:r w:rsidRPr="00B61C40">
              <w:rPr>
                <w:spacing w:val="-59"/>
              </w:rPr>
              <w:t xml:space="preserve"> </w:t>
            </w:r>
            <w:r w:rsidRPr="00B61C40">
              <w:t>agency responsible for recovery.</w:t>
            </w:r>
          </w:p>
        </w:tc>
        <w:tc>
          <w:tcPr>
            <w:tcW w:w="1134" w:type="dxa"/>
            <w:shd w:val="clear" w:color="auto" w:fill="D9E1F3"/>
          </w:tcPr>
          <w:p w14:paraId="5DC041A7" w14:textId="77777777" w:rsidR="005B0C9A" w:rsidRPr="00B61C40" w:rsidRDefault="005B0C9A" w:rsidP="00056799">
            <w:pPr>
              <w:pStyle w:val="TableParagraph"/>
              <w:ind w:left="8"/>
              <w:jc w:val="both"/>
            </w:pPr>
            <w:r w:rsidRPr="00B61C40">
              <w:t>8</w:t>
            </w:r>
          </w:p>
        </w:tc>
        <w:tc>
          <w:tcPr>
            <w:tcW w:w="993" w:type="dxa"/>
            <w:shd w:val="clear" w:color="auto" w:fill="D9E1F3"/>
          </w:tcPr>
          <w:p w14:paraId="33A39689" w14:textId="7F2DB47F" w:rsidR="005B0C9A" w:rsidRPr="00B61C40" w:rsidRDefault="00346F95" w:rsidP="00056799">
            <w:pPr>
              <w:pStyle w:val="TableParagraph"/>
              <w:ind w:left="148" w:right="137"/>
              <w:jc w:val="both"/>
            </w:pPr>
            <w:hyperlink w:anchor="_bookmark119" w:history="1">
              <w:r w:rsidR="005B0C9A" w:rsidRPr="00B61C40">
                <w:t>139</w:t>
              </w:r>
            </w:hyperlink>
          </w:p>
        </w:tc>
      </w:tr>
      <w:tr w:rsidR="005B0C9A" w:rsidRPr="00B61C40" w14:paraId="6E609D87" w14:textId="77777777" w:rsidTr="007F68B4">
        <w:trPr>
          <w:trHeight w:val="721"/>
        </w:trPr>
        <w:tc>
          <w:tcPr>
            <w:tcW w:w="1529" w:type="dxa"/>
            <w:shd w:val="clear" w:color="auto" w:fill="D9E1F3"/>
          </w:tcPr>
          <w:p w14:paraId="22B7396E" w14:textId="77777777" w:rsidR="005B0C9A" w:rsidRPr="00B61C40" w:rsidRDefault="005B0C9A" w:rsidP="00056799">
            <w:pPr>
              <w:pStyle w:val="TableParagraph"/>
              <w:spacing w:before="129"/>
              <w:ind w:left="140" w:right="131"/>
              <w:jc w:val="both"/>
            </w:pPr>
            <w:r w:rsidRPr="00B61C40">
              <w:t>45</w:t>
            </w:r>
          </w:p>
        </w:tc>
        <w:tc>
          <w:tcPr>
            <w:tcW w:w="6976" w:type="dxa"/>
            <w:shd w:val="clear" w:color="auto" w:fill="D9E1F3"/>
          </w:tcPr>
          <w:p w14:paraId="6A22E2DC" w14:textId="77777777" w:rsidR="005B0C9A" w:rsidRPr="00B61C40" w:rsidRDefault="005B0C9A" w:rsidP="00056799">
            <w:pPr>
              <w:pStyle w:val="TableParagraph"/>
              <w:numPr>
                <w:ilvl w:val="0"/>
                <w:numId w:val="7"/>
              </w:numPr>
              <w:tabs>
                <w:tab w:val="left" w:pos="685"/>
                <w:tab w:val="left" w:pos="686"/>
              </w:tabs>
              <w:spacing w:before="95" w:line="264" w:lineRule="auto"/>
              <w:ind w:right="239"/>
              <w:jc w:val="both"/>
            </w:pPr>
            <w:r w:rsidRPr="00B61C40">
              <w:t>Draft new legislation to be short, forward-looking and principles-based,</w:t>
            </w:r>
            <w:r w:rsidRPr="00B61C40">
              <w:rPr>
                <w:spacing w:val="-59"/>
              </w:rPr>
              <w:t xml:space="preserve"> </w:t>
            </w:r>
            <w:r w:rsidRPr="00B61C40">
              <w:t>with</w:t>
            </w:r>
            <w:r w:rsidRPr="00B61C40">
              <w:rPr>
                <w:spacing w:val="-1"/>
              </w:rPr>
              <w:t xml:space="preserve"> </w:t>
            </w:r>
            <w:r w:rsidRPr="00B61C40">
              <w:t>detail addressed in</w:t>
            </w:r>
            <w:r w:rsidRPr="00B61C40">
              <w:rPr>
                <w:spacing w:val="-2"/>
              </w:rPr>
              <w:t xml:space="preserve"> </w:t>
            </w:r>
            <w:r w:rsidRPr="00B61C40">
              <w:t>regulations.</w:t>
            </w:r>
          </w:p>
        </w:tc>
        <w:tc>
          <w:tcPr>
            <w:tcW w:w="1134" w:type="dxa"/>
            <w:shd w:val="clear" w:color="auto" w:fill="D9E1F3"/>
          </w:tcPr>
          <w:p w14:paraId="57661113" w14:textId="77777777" w:rsidR="005B0C9A" w:rsidRPr="00B61C40" w:rsidRDefault="005B0C9A" w:rsidP="00056799">
            <w:pPr>
              <w:pStyle w:val="TableParagraph"/>
              <w:spacing w:before="129"/>
              <w:ind w:left="8"/>
              <w:jc w:val="both"/>
            </w:pPr>
            <w:r w:rsidRPr="00B61C40">
              <w:t>8</w:t>
            </w:r>
          </w:p>
        </w:tc>
        <w:tc>
          <w:tcPr>
            <w:tcW w:w="993" w:type="dxa"/>
            <w:shd w:val="clear" w:color="auto" w:fill="D9E1F3"/>
          </w:tcPr>
          <w:p w14:paraId="01A9E91D" w14:textId="17725C4F" w:rsidR="005B0C9A" w:rsidRPr="00B61C40" w:rsidRDefault="00346F95" w:rsidP="00056799">
            <w:pPr>
              <w:pStyle w:val="TableParagraph"/>
              <w:spacing w:before="129"/>
              <w:ind w:left="148" w:right="137"/>
              <w:jc w:val="both"/>
            </w:pPr>
            <w:hyperlink w:anchor="_bookmark121" w:history="1">
              <w:r w:rsidR="005B0C9A" w:rsidRPr="00B61C40">
                <w:t>140</w:t>
              </w:r>
            </w:hyperlink>
          </w:p>
        </w:tc>
      </w:tr>
    </w:tbl>
    <w:p w14:paraId="0B883364" w14:textId="77777777" w:rsidR="005B0C9A" w:rsidRPr="00B61C40" w:rsidRDefault="005B0C9A" w:rsidP="00056799">
      <w:pPr>
        <w:tabs>
          <w:tab w:val="left" w:pos="1490"/>
        </w:tabs>
        <w:jc w:val="both"/>
        <w:rPr>
          <w:rFonts w:ascii="Arial" w:hAnsi="Arial" w:cs="Arial"/>
          <w:sz w:val="22"/>
          <w:szCs w:val="22"/>
        </w:rPr>
      </w:pPr>
    </w:p>
    <w:p w14:paraId="03283F33" w14:textId="77777777" w:rsidR="005B0C9A" w:rsidRPr="00B61C40" w:rsidRDefault="005B0C9A" w:rsidP="00056799">
      <w:pPr>
        <w:tabs>
          <w:tab w:val="left" w:pos="1490"/>
        </w:tabs>
        <w:jc w:val="both"/>
        <w:rPr>
          <w:rFonts w:ascii="Arial" w:hAnsi="Arial" w:cs="Arial"/>
          <w:sz w:val="22"/>
          <w:szCs w:val="22"/>
        </w:rPr>
      </w:pPr>
    </w:p>
    <w:p w14:paraId="3A0D4006" w14:textId="77777777" w:rsidR="005B0C9A" w:rsidRPr="00056799" w:rsidRDefault="005B0C9A" w:rsidP="00056799">
      <w:pPr>
        <w:jc w:val="both"/>
        <w:rPr>
          <w:rFonts w:ascii="Arial" w:hAnsi="Arial" w:cs="Arial"/>
          <w:b/>
          <w:bCs/>
          <w:sz w:val="22"/>
          <w:szCs w:val="22"/>
        </w:rPr>
      </w:pPr>
      <w:r w:rsidRPr="00B61C40">
        <w:rPr>
          <w:rFonts w:ascii="Arial" w:hAnsi="Arial" w:cs="Arial"/>
          <w:sz w:val="22"/>
          <w:szCs w:val="22"/>
        </w:rPr>
        <w:br w:type="page"/>
      </w:r>
      <w:r w:rsidRPr="00056799">
        <w:rPr>
          <w:rFonts w:ascii="Arial" w:hAnsi="Arial" w:cs="Arial"/>
          <w:b/>
          <w:bCs/>
          <w:sz w:val="22"/>
          <w:szCs w:val="22"/>
        </w:rPr>
        <w:lastRenderedPageBreak/>
        <w:t>Appendix 2</w:t>
      </w:r>
    </w:p>
    <w:p w14:paraId="295DFE60" w14:textId="77777777" w:rsidR="005B0C9A" w:rsidRPr="00B61C40" w:rsidRDefault="005B0C9A" w:rsidP="00056799">
      <w:pPr>
        <w:jc w:val="both"/>
        <w:rPr>
          <w:rFonts w:ascii="Arial" w:hAnsi="Arial" w:cs="Arial"/>
          <w:sz w:val="22"/>
          <w:szCs w:val="22"/>
        </w:rPr>
      </w:pPr>
    </w:p>
    <w:p w14:paraId="15F46B57" w14:textId="77777777" w:rsidR="005B0C9A" w:rsidRPr="00B61C40" w:rsidRDefault="005B0C9A" w:rsidP="00056799">
      <w:pPr>
        <w:jc w:val="both"/>
        <w:rPr>
          <w:rFonts w:ascii="Arial" w:eastAsia="Times New Roman" w:hAnsi="Arial" w:cs="Arial"/>
          <w:color w:val="000000"/>
          <w:sz w:val="22"/>
          <w:szCs w:val="22"/>
          <w:shd w:val="clear" w:color="auto" w:fill="FFFFFF"/>
        </w:rPr>
      </w:pPr>
      <w:r w:rsidRPr="00B61C40">
        <w:rPr>
          <w:rFonts w:ascii="Arial" w:eastAsia="Times New Roman" w:hAnsi="Arial" w:cs="Arial"/>
          <w:color w:val="000000"/>
          <w:sz w:val="22"/>
          <w:szCs w:val="22"/>
          <w:shd w:val="clear" w:color="auto" w:fill="FFFFFF"/>
        </w:rPr>
        <w:t>Existing SFC Role and Function</w:t>
      </w:r>
    </w:p>
    <w:p w14:paraId="5CC6A080" w14:textId="194BF308" w:rsidR="005B0C9A" w:rsidRPr="00B61C40" w:rsidRDefault="005B0C9A" w:rsidP="00056799">
      <w:pPr>
        <w:jc w:val="both"/>
        <w:rPr>
          <w:rFonts w:ascii="Arial" w:hAnsi="Arial" w:cs="Arial"/>
          <w:sz w:val="22"/>
          <w:szCs w:val="22"/>
        </w:rPr>
      </w:pPr>
      <w:r w:rsidRPr="00B61C40">
        <w:rPr>
          <w:rFonts w:ascii="Arial" w:eastAsia="Times New Roman" w:hAnsi="Arial" w:cs="Arial"/>
          <w:color w:val="000000"/>
          <w:sz w:val="22"/>
          <w:szCs w:val="22"/>
          <w:shd w:val="clear" w:color="auto" w:fill="FFFFFF"/>
        </w:rPr>
        <w:t>(1)  Subject to any directions given to it by the Minister pursuant to </w:t>
      </w:r>
      <w:hyperlink r:id="rId13" w:anchor="GS11@EN" w:history="1">
        <w:r w:rsidRPr="00B61C40">
          <w:rPr>
            <w:rFonts w:ascii="Arial" w:eastAsia="Times New Roman" w:hAnsi="Arial" w:cs="Arial"/>
            <w:color w:val="0076BD"/>
            <w:sz w:val="22"/>
            <w:szCs w:val="22"/>
            <w:u w:val="single"/>
            <w:shd w:val="clear" w:color="auto" w:fill="FFFFFF"/>
          </w:rPr>
          <w:t>section 11</w:t>
        </w:r>
      </w:hyperlink>
      <w:r w:rsidRPr="00B61C40">
        <w:rPr>
          <w:rFonts w:ascii="Arial" w:eastAsia="Times New Roman" w:hAnsi="Arial" w:cs="Arial"/>
          <w:color w:val="000000"/>
          <w:sz w:val="22"/>
          <w:szCs w:val="22"/>
          <w:shd w:val="clear" w:color="auto" w:fill="FFFFFF"/>
        </w:rPr>
        <w:t> , the functions of the Commission are –</w:t>
      </w:r>
      <w:bookmarkStart w:id="10" w:name="GS8@Gs1@Hpa@EN"/>
      <w:bookmarkEnd w:id="10"/>
    </w:p>
    <w:p w14:paraId="4B083BAC" w14:textId="77777777" w:rsidR="005B0C9A" w:rsidRPr="00B61C40" w:rsidRDefault="005B0C9A" w:rsidP="00056799">
      <w:pPr>
        <w:shd w:val="clear" w:color="auto" w:fill="FFFFFF"/>
        <w:jc w:val="both"/>
        <w:rPr>
          <w:rFonts w:ascii="Arial" w:eastAsia="Times New Roman" w:hAnsi="Arial" w:cs="Arial"/>
          <w:color w:val="000000"/>
          <w:sz w:val="22"/>
          <w:szCs w:val="22"/>
        </w:rPr>
      </w:pPr>
      <w:r w:rsidRPr="00B61C40">
        <w:rPr>
          <w:rFonts w:ascii="Arial" w:eastAsia="Times New Roman" w:hAnsi="Arial" w:cs="Arial"/>
          <w:color w:val="000000"/>
          <w:sz w:val="22"/>
          <w:szCs w:val="22"/>
        </w:rPr>
        <w:t>(a) to formulate the policy in respect of the administration and operation of the Fire Service;</w:t>
      </w:r>
    </w:p>
    <w:p w14:paraId="15E601EA"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1" w:name="GS8@Gs1@Hpb@EN"/>
      <w:bookmarkEnd w:id="11"/>
      <w:r w:rsidRPr="00B61C40">
        <w:rPr>
          <w:rFonts w:ascii="Arial" w:eastAsia="Times New Roman" w:hAnsi="Arial" w:cs="Arial"/>
          <w:color w:val="000000"/>
          <w:sz w:val="22"/>
          <w:szCs w:val="22"/>
        </w:rPr>
        <w:t>(b) to co-ordinate and direct the development of all fire services throughout the State;</w:t>
      </w:r>
    </w:p>
    <w:p w14:paraId="33E42BF9"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2" w:name="GS8@Gs1@Hpc@EN"/>
      <w:bookmarkEnd w:id="12"/>
      <w:r w:rsidRPr="00B61C40">
        <w:rPr>
          <w:rFonts w:ascii="Arial" w:eastAsia="Times New Roman" w:hAnsi="Arial" w:cs="Arial"/>
          <w:color w:val="000000"/>
          <w:sz w:val="22"/>
          <w:szCs w:val="22"/>
        </w:rPr>
        <w:t>(c) to develop effective fire prevention and protection measures throughout the State;</w:t>
      </w:r>
    </w:p>
    <w:p w14:paraId="5377D19D"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3" w:name="GS8@Gs1@Hpd@EN"/>
      <w:bookmarkEnd w:id="13"/>
      <w:r w:rsidRPr="00B61C40">
        <w:rPr>
          <w:rFonts w:ascii="Arial" w:eastAsia="Times New Roman" w:hAnsi="Arial" w:cs="Arial"/>
          <w:color w:val="000000"/>
          <w:sz w:val="22"/>
          <w:szCs w:val="22"/>
        </w:rPr>
        <w:t>(d) to develop and promulgate a State fire protection plan;</w:t>
      </w:r>
    </w:p>
    <w:p w14:paraId="36B14BED"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4" w:name="GS8@Gs1@Hpe@EN"/>
      <w:bookmarkEnd w:id="14"/>
      <w:r w:rsidRPr="00B61C40">
        <w:rPr>
          <w:rFonts w:ascii="Arial" w:eastAsia="Times New Roman" w:hAnsi="Arial" w:cs="Arial"/>
          <w:color w:val="000000"/>
          <w:sz w:val="22"/>
          <w:szCs w:val="22"/>
        </w:rPr>
        <w:t>(e) to standardize, as far as is practicable, fire brigade equipment throughout the State;</w:t>
      </w:r>
    </w:p>
    <w:p w14:paraId="4ABA9F69"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5" w:name="GS8@Gs1@Hpf@EN"/>
      <w:bookmarkEnd w:id="15"/>
      <w:r w:rsidRPr="00B61C40">
        <w:rPr>
          <w:rFonts w:ascii="Arial" w:eastAsia="Times New Roman" w:hAnsi="Arial" w:cs="Arial"/>
          <w:color w:val="000000"/>
          <w:sz w:val="22"/>
          <w:szCs w:val="22"/>
        </w:rPr>
        <w:t>(f) to establish and maintain training facilities for brigades;</w:t>
      </w:r>
    </w:p>
    <w:p w14:paraId="74825097"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6" w:name="GS8@Gs1@Hpg@EN"/>
      <w:bookmarkEnd w:id="16"/>
      <w:r w:rsidRPr="00B61C40">
        <w:rPr>
          <w:rFonts w:ascii="Arial" w:eastAsia="Times New Roman" w:hAnsi="Arial" w:cs="Arial"/>
          <w:color w:val="000000"/>
          <w:sz w:val="22"/>
          <w:szCs w:val="22"/>
        </w:rPr>
        <w:t>(g) to conduct such investigations into fires as it considers necessary, and to prepare reports and recommendations to the Minister arising from those investigations;</w:t>
      </w:r>
    </w:p>
    <w:p w14:paraId="465A9BB4"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7" w:name="GS8@Gs1@Hph@EN"/>
      <w:bookmarkEnd w:id="17"/>
      <w:r w:rsidRPr="00B61C40">
        <w:rPr>
          <w:rFonts w:ascii="Arial" w:eastAsia="Times New Roman" w:hAnsi="Arial" w:cs="Arial"/>
          <w:color w:val="000000"/>
          <w:sz w:val="22"/>
          <w:szCs w:val="22"/>
        </w:rPr>
        <w:t>(h) to conduct such investigations into the use of fire as it considers necessary, to instruct the public in the wise use of fire, and to disseminate information regarding fire protection measures and other related matters;</w:t>
      </w:r>
    </w:p>
    <w:p w14:paraId="1D142322"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8" w:name="GS8@Gs1@Hpi@EN"/>
      <w:bookmarkEnd w:id="18"/>
      <w:r w:rsidRPr="00B61C40">
        <w:rPr>
          <w:rFonts w:ascii="Arial" w:eastAsia="Times New Roman" w:hAnsi="Arial" w:cs="Arial"/>
          <w:color w:val="000000"/>
          <w:sz w:val="22"/>
          <w:szCs w:val="22"/>
        </w:rPr>
        <w:t>(i) to advise the Minister on such matters relating to the administration of this Act as may be referred to it by the Minister, and on matters that, in the opinion of the Commission, should be brought to the attention of the Minister; and</w:t>
      </w:r>
    </w:p>
    <w:p w14:paraId="2894818E"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19" w:name="GS8@Gs1@Hpj@EN"/>
      <w:bookmarkEnd w:id="19"/>
      <w:r w:rsidRPr="00B61C40">
        <w:rPr>
          <w:rFonts w:ascii="Arial" w:eastAsia="Times New Roman" w:hAnsi="Arial" w:cs="Arial"/>
          <w:color w:val="000000"/>
          <w:sz w:val="22"/>
          <w:szCs w:val="22"/>
        </w:rPr>
        <w:t>(j) to exercise such other functions vested in or imposed on it by this Act or such other functions relating to the preventing or extinguishing of fires as may be imposed on it by the Minister from time to time.</w:t>
      </w:r>
    </w:p>
    <w:p w14:paraId="643AF2E2" w14:textId="258E09F7" w:rsidR="005B0C9A" w:rsidRPr="00B61C40" w:rsidRDefault="005B0C9A" w:rsidP="00056799">
      <w:pPr>
        <w:shd w:val="clear" w:color="auto" w:fill="FFFFFF"/>
        <w:jc w:val="both"/>
        <w:rPr>
          <w:rFonts w:ascii="Arial" w:eastAsia="Times New Roman" w:hAnsi="Arial" w:cs="Arial"/>
          <w:color w:val="000000"/>
          <w:sz w:val="22"/>
          <w:szCs w:val="22"/>
        </w:rPr>
      </w:pPr>
      <w:r w:rsidRPr="00B61C40">
        <w:rPr>
          <w:rFonts w:ascii="Arial" w:eastAsia="Times New Roman" w:hAnsi="Arial" w:cs="Arial"/>
          <w:color w:val="000000"/>
          <w:sz w:val="22"/>
          <w:szCs w:val="22"/>
        </w:rPr>
        <w:t>(5)  Any land proposed to be acquired by the Commission under the authority of </w:t>
      </w:r>
      <w:hyperlink r:id="rId14" w:anchor="GS7@EN" w:history="1">
        <w:r w:rsidRPr="00B61C40">
          <w:rPr>
            <w:rFonts w:ascii="Arial" w:eastAsia="Times New Roman" w:hAnsi="Arial" w:cs="Arial"/>
            <w:color w:val="0076BD"/>
            <w:sz w:val="22"/>
            <w:szCs w:val="22"/>
            <w:u w:val="single"/>
          </w:rPr>
          <w:t>section 7</w:t>
        </w:r>
      </w:hyperlink>
      <w:r w:rsidRPr="00B61C40">
        <w:rPr>
          <w:rFonts w:ascii="Arial" w:eastAsia="Times New Roman" w:hAnsi="Arial" w:cs="Arial"/>
          <w:color w:val="000000"/>
          <w:sz w:val="22"/>
          <w:szCs w:val="22"/>
        </w:rPr>
        <w:t> </w:t>
      </w:r>
      <w:hyperlink r:id="rId15" w:anchor="GS7@Gs2@EN" w:history="1">
        <w:r w:rsidRPr="00B61C40">
          <w:rPr>
            <w:rFonts w:ascii="Arial" w:eastAsia="Times New Roman" w:hAnsi="Arial" w:cs="Arial"/>
            <w:color w:val="0076BD"/>
            <w:sz w:val="22"/>
            <w:szCs w:val="22"/>
            <w:u w:val="single"/>
          </w:rPr>
          <w:t>(2)</w:t>
        </w:r>
      </w:hyperlink>
      <w:r w:rsidRPr="00B61C40">
        <w:rPr>
          <w:rFonts w:ascii="Arial" w:eastAsia="Times New Roman" w:hAnsi="Arial" w:cs="Arial"/>
          <w:color w:val="000000"/>
          <w:sz w:val="22"/>
          <w:szCs w:val="22"/>
        </w:rPr>
        <w:t> may, with the consent of the Governor, be taken in accordance with the provisions of the </w:t>
      </w:r>
      <w:hyperlink r:id="rId16" w:history="1">
        <w:r w:rsidRPr="00B61C40">
          <w:rPr>
            <w:rFonts w:ascii="Arial" w:eastAsia="Times New Roman" w:hAnsi="Arial" w:cs="Arial"/>
            <w:color w:val="0076BD"/>
            <w:sz w:val="22"/>
            <w:szCs w:val="22"/>
            <w:u w:val="single"/>
          </w:rPr>
          <w:t>Land Acquisition Act 1993</w:t>
        </w:r>
      </w:hyperlink>
      <w:r w:rsidRPr="00B61C40">
        <w:rPr>
          <w:rFonts w:ascii="Arial" w:eastAsia="Times New Roman" w:hAnsi="Arial" w:cs="Arial"/>
          <w:color w:val="000000"/>
          <w:sz w:val="22"/>
          <w:szCs w:val="22"/>
        </w:rPr>
        <w:t> and the purpose for which the land is so taken shall be deemed to be an authorized purpose within the meaning of that Act.</w:t>
      </w:r>
    </w:p>
    <w:p w14:paraId="4484C130" w14:textId="55210EF0" w:rsidR="005B0C9A" w:rsidRPr="00B61C40" w:rsidRDefault="005B0C9A" w:rsidP="00056799">
      <w:pPr>
        <w:shd w:val="clear" w:color="auto" w:fill="FFFFFF"/>
        <w:jc w:val="both"/>
        <w:rPr>
          <w:rFonts w:ascii="Arial" w:eastAsia="Times New Roman" w:hAnsi="Arial" w:cs="Arial"/>
          <w:color w:val="000000"/>
          <w:sz w:val="22"/>
          <w:szCs w:val="22"/>
        </w:rPr>
      </w:pPr>
      <w:bookmarkStart w:id="20" w:name="GS8@Gs6@EN"/>
      <w:bookmarkEnd w:id="20"/>
      <w:r w:rsidRPr="00B61C40">
        <w:rPr>
          <w:rFonts w:ascii="Arial" w:eastAsia="Times New Roman" w:hAnsi="Arial" w:cs="Arial"/>
          <w:color w:val="000000"/>
          <w:sz w:val="22"/>
          <w:szCs w:val="22"/>
        </w:rPr>
        <w:t>(6)  The Commission is to perform its functions in respect of Wellington Park in a manner that is consistent with the purposes for which Wellington Park is set aside under the </w:t>
      </w:r>
      <w:hyperlink r:id="rId17" w:history="1">
        <w:r w:rsidRPr="00B61C40">
          <w:rPr>
            <w:rFonts w:ascii="Arial" w:eastAsia="Times New Roman" w:hAnsi="Arial" w:cs="Arial"/>
            <w:color w:val="0076BD"/>
            <w:sz w:val="22"/>
            <w:szCs w:val="22"/>
            <w:u w:val="single"/>
          </w:rPr>
          <w:t>Wellington Park Act 1993</w:t>
        </w:r>
      </w:hyperlink>
      <w:r w:rsidRPr="00B61C40">
        <w:rPr>
          <w:rFonts w:ascii="Arial" w:eastAsia="Times New Roman" w:hAnsi="Arial" w:cs="Arial"/>
          <w:color w:val="000000"/>
          <w:sz w:val="22"/>
          <w:szCs w:val="22"/>
        </w:rPr>
        <w:t> and with any management plan in force in respect of Wellington Park.</w:t>
      </w:r>
    </w:p>
    <w:p w14:paraId="33F4164B" w14:textId="6C3C1C27" w:rsidR="005B0C9A" w:rsidRPr="00B61C40" w:rsidRDefault="005B0C9A" w:rsidP="00056799">
      <w:pPr>
        <w:shd w:val="clear" w:color="auto" w:fill="FFFFFF"/>
        <w:jc w:val="both"/>
        <w:rPr>
          <w:rFonts w:ascii="Arial" w:eastAsia="Times New Roman" w:hAnsi="Arial" w:cs="Arial"/>
          <w:color w:val="000000"/>
          <w:sz w:val="22"/>
          <w:szCs w:val="22"/>
        </w:rPr>
      </w:pPr>
      <w:bookmarkStart w:id="21" w:name="GS8@Gs7@EN"/>
      <w:bookmarkEnd w:id="21"/>
      <w:r w:rsidRPr="00B61C40">
        <w:rPr>
          <w:rFonts w:ascii="Arial" w:eastAsia="Times New Roman" w:hAnsi="Arial" w:cs="Arial"/>
          <w:color w:val="000000"/>
          <w:sz w:val="22"/>
          <w:szCs w:val="22"/>
        </w:rPr>
        <w:t>(7)  The Commission is to perform its functions in respect of any reserved land, as defined in the </w:t>
      </w:r>
      <w:hyperlink r:id="rId18" w:history="1">
        <w:r w:rsidRPr="00B61C40">
          <w:rPr>
            <w:rFonts w:ascii="Arial" w:eastAsia="Times New Roman" w:hAnsi="Arial" w:cs="Arial"/>
            <w:color w:val="0076BD"/>
            <w:sz w:val="22"/>
            <w:szCs w:val="22"/>
            <w:u w:val="single"/>
          </w:rPr>
          <w:t>Nature Conservation Act 2002</w:t>
        </w:r>
      </w:hyperlink>
      <w:r w:rsidRPr="00B61C40">
        <w:rPr>
          <w:rFonts w:ascii="Arial" w:eastAsia="Times New Roman" w:hAnsi="Arial" w:cs="Arial"/>
          <w:color w:val="000000"/>
          <w:sz w:val="22"/>
          <w:szCs w:val="22"/>
        </w:rPr>
        <w:t> , in a manner that is consistent with the purposes for which the reserved land is set aside under the </w:t>
      </w:r>
      <w:hyperlink r:id="rId19" w:history="1">
        <w:r w:rsidRPr="00B61C40">
          <w:rPr>
            <w:rFonts w:ascii="Arial" w:eastAsia="Times New Roman" w:hAnsi="Arial" w:cs="Arial"/>
            <w:color w:val="0076BD"/>
            <w:sz w:val="22"/>
            <w:szCs w:val="22"/>
            <w:u w:val="single"/>
          </w:rPr>
          <w:t>National Parks and Reserves Management Act 2002</w:t>
        </w:r>
      </w:hyperlink>
      <w:r w:rsidRPr="00B61C40">
        <w:rPr>
          <w:rFonts w:ascii="Arial" w:eastAsia="Times New Roman" w:hAnsi="Arial" w:cs="Arial"/>
          <w:color w:val="000000"/>
          <w:sz w:val="22"/>
          <w:szCs w:val="22"/>
        </w:rPr>
        <w:t> and with any management plan in force in respect of the reserved land.</w:t>
      </w:r>
    </w:p>
    <w:p w14:paraId="36081C81" w14:textId="421E13D0" w:rsidR="00304067" w:rsidRDefault="00304067">
      <w:pPr>
        <w:spacing w:before="0" w:after="0"/>
        <w:rPr>
          <w:rFonts w:ascii="Arial" w:eastAsia="Times New Roman" w:hAnsi="Arial" w:cs="Arial"/>
          <w:color w:val="000000"/>
          <w:sz w:val="22"/>
          <w:szCs w:val="22"/>
        </w:rPr>
      </w:pPr>
      <w:r>
        <w:rPr>
          <w:rFonts w:ascii="Arial" w:eastAsia="Times New Roman" w:hAnsi="Arial" w:cs="Arial"/>
          <w:color w:val="000000"/>
          <w:sz w:val="22"/>
          <w:szCs w:val="22"/>
        </w:rPr>
        <w:br w:type="page"/>
      </w:r>
    </w:p>
    <w:p w14:paraId="16EAE583" w14:textId="77777777" w:rsidR="005B0C9A" w:rsidRPr="00B61C40" w:rsidRDefault="005B0C9A" w:rsidP="00056799">
      <w:pPr>
        <w:shd w:val="clear" w:color="auto" w:fill="FFFFFF"/>
        <w:jc w:val="both"/>
        <w:rPr>
          <w:rFonts w:ascii="Arial" w:eastAsia="Times New Roman" w:hAnsi="Arial" w:cs="Arial"/>
          <w:color w:val="000000"/>
          <w:sz w:val="22"/>
          <w:szCs w:val="22"/>
        </w:rPr>
      </w:pPr>
    </w:p>
    <w:p w14:paraId="703A51DC" w14:textId="77777777" w:rsidR="005B0C9A" w:rsidRPr="00B61C40" w:rsidRDefault="005B0C9A" w:rsidP="00056799">
      <w:pPr>
        <w:shd w:val="clear" w:color="auto" w:fill="FFFFFF"/>
        <w:jc w:val="both"/>
        <w:rPr>
          <w:rFonts w:ascii="Arial" w:eastAsia="Times New Roman" w:hAnsi="Arial" w:cs="Arial"/>
          <w:color w:val="000000"/>
          <w:sz w:val="22"/>
          <w:szCs w:val="22"/>
        </w:rPr>
      </w:pPr>
    </w:p>
    <w:p w14:paraId="08634C54" w14:textId="77777777" w:rsidR="005B0C9A" w:rsidRPr="00B61C40" w:rsidRDefault="005B0C9A" w:rsidP="00056799">
      <w:pPr>
        <w:shd w:val="clear" w:color="auto" w:fill="FFFFFF"/>
        <w:jc w:val="both"/>
        <w:rPr>
          <w:rFonts w:ascii="Arial" w:eastAsia="Times New Roman" w:hAnsi="Arial" w:cs="Arial"/>
          <w:color w:val="000000"/>
          <w:sz w:val="22"/>
          <w:szCs w:val="22"/>
        </w:rPr>
      </w:pPr>
      <w:r w:rsidRPr="00B61C40">
        <w:rPr>
          <w:rFonts w:ascii="Arial" w:eastAsia="Times New Roman" w:hAnsi="Arial" w:cs="Arial"/>
          <w:color w:val="000000"/>
          <w:sz w:val="22"/>
          <w:szCs w:val="22"/>
        </w:rPr>
        <w:t>Existing SFMC Role and function</w:t>
      </w:r>
    </w:p>
    <w:p w14:paraId="6473D91A" w14:textId="77777777" w:rsidR="005B0C9A" w:rsidRPr="00B61C40" w:rsidRDefault="005B0C9A" w:rsidP="00056799">
      <w:pPr>
        <w:shd w:val="clear" w:color="auto" w:fill="FFFFFF"/>
        <w:jc w:val="both"/>
        <w:rPr>
          <w:rFonts w:ascii="Arial" w:eastAsia="Times New Roman" w:hAnsi="Arial" w:cs="Arial"/>
          <w:color w:val="000000"/>
          <w:sz w:val="22"/>
          <w:szCs w:val="22"/>
        </w:rPr>
      </w:pPr>
    </w:p>
    <w:p w14:paraId="4B5CA930" w14:textId="77777777" w:rsidR="005B0C9A" w:rsidRPr="00B61C40" w:rsidRDefault="005B0C9A" w:rsidP="00056799">
      <w:pPr>
        <w:spacing w:after="0"/>
        <w:jc w:val="both"/>
        <w:rPr>
          <w:rFonts w:ascii="Arial" w:eastAsia="Times New Roman" w:hAnsi="Arial" w:cs="Arial"/>
          <w:sz w:val="22"/>
          <w:szCs w:val="22"/>
        </w:rPr>
      </w:pPr>
      <w:r w:rsidRPr="00B61C40">
        <w:rPr>
          <w:rFonts w:ascii="Arial" w:eastAsia="Times New Roman" w:hAnsi="Arial" w:cs="Arial"/>
          <w:color w:val="000000"/>
          <w:sz w:val="22"/>
          <w:szCs w:val="22"/>
          <w:shd w:val="clear" w:color="auto" w:fill="FFFFFF"/>
        </w:rPr>
        <w:t>(1)  The Council has the following functions:</w:t>
      </w:r>
      <w:bookmarkStart w:id="22" w:name="GS15@Gs1@Hpa@EN"/>
      <w:bookmarkEnd w:id="22"/>
    </w:p>
    <w:p w14:paraId="3CD3821C" w14:textId="77777777" w:rsidR="005B0C9A" w:rsidRPr="00B61C40" w:rsidRDefault="005B0C9A" w:rsidP="00056799">
      <w:pPr>
        <w:shd w:val="clear" w:color="auto" w:fill="FFFFFF"/>
        <w:jc w:val="both"/>
        <w:rPr>
          <w:rFonts w:ascii="Arial" w:eastAsia="Times New Roman" w:hAnsi="Arial" w:cs="Arial"/>
          <w:color w:val="000000"/>
          <w:sz w:val="22"/>
          <w:szCs w:val="22"/>
        </w:rPr>
      </w:pPr>
      <w:r w:rsidRPr="00B61C40">
        <w:rPr>
          <w:rFonts w:ascii="Arial" w:eastAsia="Times New Roman" w:hAnsi="Arial" w:cs="Arial"/>
          <w:color w:val="000000"/>
          <w:sz w:val="22"/>
          <w:szCs w:val="22"/>
        </w:rPr>
        <w:t>(a) to develop a State vegetation fire management policy to be used as the basis for all fire management planning;</w:t>
      </w:r>
    </w:p>
    <w:p w14:paraId="193346B0"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23" w:name="GS15@Gs1@Hpb@EN"/>
      <w:bookmarkEnd w:id="23"/>
      <w:r w:rsidRPr="00B61C40">
        <w:rPr>
          <w:rFonts w:ascii="Arial" w:eastAsia="Times New Roman" w:hAnsi="Arial" w:cs="Arial"/>
          <w:color w:val="000000"/>
          <w:sz w:val="22"/>
          <w:szCs w:val="22"/>
        </w:rPr>
        <w:t>(b) to advise and report regularly to the Minister on such matters relating to the administration of this Act, as it applies to vegetation fire management, as are referred to it by the Minister and on such matters concerning vegetation fire management as, in the opinion of the Council, should be brought to the attention of the Minister;</w:t>
      </w:r>
    </w:p>
    <w:p w14:paraId="5F2B9199"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24" w:name="GS15@Gs1@Hpc@EN"/>
      <w:bookmarkEnd w:id="24"/>
      <w:r w:rsidRPr="00B61C40">
        <w:rPr>
          <w:rFonts w:ascii="Arial" w:eastAsia="Times New Roman" w:hAnsi="Arial" w:cs="Arial"/>
          <w:color w:val="000000"/>
          <w:sz w:val="22"/>
          <w:szCs w:val="22"/>
        </w:rPr>
        <w:t>(c) to advise the Commission on such matters relating to the prevention and mitigation of vegetation fires as are referred to it by the Commission or land managers and on such other matters as, in the opinion of the Council, should be brought to the attention of the Commission;</w:t>
      </w:r>
    </w:p>
    <w:p w14:paraId="257D753F" w14:textId="77777777" w:rsidR="005B0C9A" w:rsidRPr="00B61C40" w:rsidRDefault="005B0C9A" w:rsidP="00056799">
      <w:pPr>
        <w:shd w:val="clear" w:color="auto" w:fill="FFFFFF"/>
        <w:jc w:val="both"/>
        <w:rPr>
          <w:rFonts w:ascii="Arial" w:eastAsia="Times New Roman" w:hAnsi="Arial" w:cs="Arial"/>
          <w:color w:val="000000"/>
          <w:sz w:val="22"/>
          <w:szCs w:val="22"/>
        </w:rPr>
      </w:pPr>
      <w:bookmarkStart w:id="25" w:name="GS15@Gs1@Hpd@EN"/>
      <w:bookmarkEnd w:id="25"/>
      <w:r w:rsidRPr="00B61C40">
        <w:rPr>
          <w:rFonts w:ascii="Arial" w:eastAsia="Times New Roman" w:hAnsi="Arial" w:cs="Arial"/>
          <w:color w:val="000000"/>
          <w:sz w:val="22"/>
          <w:szCs w:val="22"/>
        </w:rPr>
        <w:t>(d) to perform such other functions relating to the prevention or mitigation of vegetation fires as the Minister may direct;</w:t>
      </w:r>
    </w:p>
    <w:p w14:paraId="5907C37C" w14:textId="5910E367" w:rsidR="005B0C9A" w:rsidRPr="00B61C40" w:rsidRDefault="005B0C9A" w:rsidP="00056799">
      <w:pPr>
        <w:shd w:val="clear" w:color="auto" w:fill="FFFFFF"/>
        <w:jc w:val="both"/>
        <w:rPr>
          <w:rFonts w:ascii="Arial" w:eastAsia="Times New Roman" w:hAnsi="Arial" w:cs="Arial"/>
          <w:color w:val="000000"/>
          <w:sz w:val="22"/>
          <w:szCs w:val="22"/>
        </w:rPr>
      </w:pPr>
      <w:bookmarkStart w:id="26" w:name="GS15@Gs1@Hpe@EN"/>
      <w:bookmarkEnd w:id="26"/>
      <w:r w:rsidRPr="00B61C40">
        <w:rPr>
          <w:rFonts w:ascii="Arial" w:eastAsia="Times New Roman" w:hAnsi="Arial" w:cs="Arial"/>
          <w:color w:val="000000"/>
          <w:sz w:val="22"/>
          <w:szCs w:val="22"/>
        </w:rPr>
        <w:t>(e) to provide an annual report to the Minister on its activities, for inclusion in the annual report of the Commission prepared under </w:t>
      </w:r>
      <w:hyperlink r:id="rId20" w:anchor="GS107G@EN" w:history="1">
        <w:r w:rsidRPr="00B61C40">
          <w:rPr>
            <w:rFonts w:ascii="Arial" w:eastAsia="Times New Roman" w:hAnsi="Arial" w:cs="Arial"/>
            <w:color w:val="0076BD"/>
            <w:sz w:val="22"/>
            <w:szCs w:val="22"/>
            <w:u w:val="single"/>
          </w:rPr>
          <w:t>section 107G</w:t>
        </w:r>
      </w:hyperlink>
      <w:r w:rsidRPr="00B61C40">
        <w:rPr>
          <w:rFonts w:ascii="Arial" w:eastAsia="Times New Roman" w:hAnsi="Arial" w:cs="Arial"/>
          <w:color w:val="000000"/>
          <w:sz w:val="22"/>
          <w:szCs w:val="22"/>
        </w:rPr>
        <w:t> ;</w:t>
      </w:r>
    </w:p>
    <w:p w14:paraId="19E33E78" w14:textId="77F0BB29" w:rsidR="005B0C9A" w:rsidRPr="00B61C40" w:rsidRDefault="005B0C9A" w:rsidP="00056799">
      <w:pPr>
        <w:shd w:val="clear" w:color="auto" w:fill="FFFFFF"/>
        <w:jc w:val="both"/>
        <w:rPr>
          <w:rFonts w:ascii="Arial" w:eastAsia="Times New Roman" w:hAnsi="Arial" w:cs="Arial"/>
          <w:color w:val="000000"/>
          <w:sz w:val="22"/>
          <w:szCs w:val="22"/>
        </w:rPr>
      </w:pPr>
      <w:bookmarkStart w:id="27" w:name="GS15@Gs1@Hpf@EN"/>
      <w:bookmarkEnd w:id="27"/>
      <w:r w:rsidRPr="00B61C40">
        <w:rPr>
          <w:rFonts w:ascii="Arial" w:eastAsia="Times New Roman" w:hAnsi="Arial" w:cs="Arial"/>
          <w:color w:val="000000"/>
          <w:sz w:val="22"/>
          <w:szCs w:val="22"/>
        </w:rPr>
        <w:t>(f) to provide an annual report to the Commission on the activities of the Fire Management Area Committees, for inclusion in the annual report of the Commission prepared under </w:t>
      </w:r>
      <w:hyperlink r:id="rId21" w:anchor="GS107G@EN" w:history="1">
        <w:r w:rsidRPr="00B61C40">
          <w:rPr>
            <w:rFonts w:ascii="Arial" w:eastAsia="Times New Roman" w:hAnsi="Arial" w:cs="Arial"/>
            <w:color w:val="0076BD"/>
            <w:sz w:val="22"/>
            <w:szCs w:val="22"/>
            <w:u w:val="single"/>
          </w:rPr>
          <w:t>section 107G</w:t>
        </w:r>
      </w:hyperlink>
      <w:r w:rsidRPr="00B61C40">
        <w:rPr>
          <w:rFonts w:ascii="Arial" w:eastAsia="Times New Roman" w:hAnsi="Arial" w:cs="Arial"/>
          <w:color w:val="000000"/>
          <w:sz w:val="22"/>
          <w:szCs w:val="22"/>
        </w:rPr>
        <w:t> .</w:t>
      </w:r>
    </w:p>
    <w:p w14:paraId="3DE053F1" w14:textId="77777777" w:rsidR="005B0C9A" w:rsidRPr="00B61C40" w:rsidRDefault="005B0C9A" w:rsidP="00056799">
      <w:pPr>
        <w:shd w:val="clear" w:color="auto" w:fill="FFFFFF"/>
        <w:jc w:val="both"/>
        <w:rPr>
          <w:rFonts w:ascii="Arial" w:eastAsia="Times New Roman" w:hAnsi="Arial" w:cs="Arial"/>
          <w:color w:val="000000"/>
          <w:sz w:val="22"/>
          <w:szCs w:val="22"/>
        </w:rPr>
      </w:pPr>
    </w:p>
    <w:p w14:paraId="62010FED" w14:textId="77777777" w:rsidR="005B0C9A" w:rsidRPr="00B61C40" w:rsidRDefault="005B0C9A" w:rsidP="00056799">
      <w:pPr>
        <w:tabs>
          <w:tab w:val="left" w:pos="1490"/>
        </w:tabs>
        <w:jc w:val="both"/>
        <w:rPr>
          <w:rFonts w:ascii="Arial" w:hAnsi="Arial" w:cs="Arial"/>
          <w:sz w:val="22"/>
          <w:szCs w:val="22"/>
        </w:rPr>
      </w:pPr>
    </w:p>
    <w:p w14:paraId="5DCCECF5" w14:textId="77777777" w:rsidR="005B0C9A" w:rsidRPr="00B61C40" w:rsidRDefault="005B0C9A" w:rsidP="00056799">
      <w:pPr>
        <w:jc w:val="both"/>
        <w:rPr>
          <w:rFonts w:ascii="Arial" w:hAnsi="Arial" w:cs="Arial"/>
          <w:sz w:val="22"/>
          <w:szCs w:val="22"/>
        </w:rPr>
      </w:pPr>
    </w:p>
    <w:p w14:paraId="4BEB1DA4" w14:textId="77777777" w:rsidR="005B0C9A" w:rsidRPr="00B61C40" w:rsidRDefault="005B0C9A" w:rsidP="00056799">
      <w:pPr>
        <w:jc w:val="both"/>
        <w:rPr>
          <w:rFonts w:ascii="Arial" w:hAnsi="Arial" w:cs="Arial"/>
          <w:sz w:val="22"/>
          <w:szCs w:val="22"/>
        </w:rPr>
      </w:pPr>
    </w:p>
    <w:p w14:paraId="57EF03AA" w14:textId="77777777" w:rsidR="005B0C9A" w:rsidRPr="00B61C40" w:rsidRDefault="005B0C9A" w:rsidP="00056799">
      <w:pPr>
        <w:jc w:val="both"/>
        <w:rPr>
          <w:rFonts w:ascii="Arial" w:hAnsi="Arial" w:cs="Arial"/>
          <w:sz w:val="22"/>
          <w:szCs w:val="22"/>
        </w:rPr>
      </w:pPr>
    </w:p>
    <w:p w14:paraId="668FB240" w14:textId="77777777" w:rsidR="005B0C9A" w:rsidRPr="00B61C40" w:rsidRDefault="005B0C9A" w:rsidP="00056799">
      <w:pPr>
        <w:jc w:val="both"/>
        <w:rPr>
          <w:rFonts w:ascii="Arial" w:hAnsi="Arial" w:cs="Arial"/>
          <w:sz w:val="22"/>
          <w:szCs w:val="22"/>
        </w:rPr>
      </w:pPr>
    </w:p>
    <w:p w14:paraId="3542301C" w14:textId="77777777" w:rsidR="005B0C9A" w:rsidRPr="00B61C40" w:rsidRDefault="005B0C9A" w:rsidP="00056799">
      <w:pPr>
        <w:jc w:val="both"/>
        <w:rPr>
          <w:rFonts w:ascii="Arial" w:hAnsi="Arial" w:cs="Arial"/>
          <w:sz w:val="22"/>
          <w:szCs w:val="22"/>
        </w:rPr>
      </w:pPr>
    </w:p>
    <w:p w14:paraId="66D9BF9E" w14:textId="77777777" w:rsidR="007C0F1F" w:rsidRPr="00B61C40" w:rsidRDefault="007C0F1F" w:rsidP="00056799">
      <w:pPr>
        <w:jc w:val="both"/>
        <w:rPr>
          <w:rFonts w:ascii="Arial" w:hAnsi="Arial" w:cs="Arial"/>
          <w:sz w:val="22"/>
          <w:szCs w:val="22"/>
        </w:rPr>
      </w:pPr>
      <w:bookmarkStart w:id="28" w:name="_Toc108784760"/>
      <w:bookmarkStart w:id="29" w:name="_Toc108785002"/>
      <w:bookmarkEnd w:id="28"/>
      <w:bookmarkEnd w:id="29"/>
    </w:p>
    <w:sectPr w:rsidR="007C0F1F" w:rsidRPr="00B61C40" w:rsidSect="00B61C40">
      <w:headerReference w:type="even" r:id="rId22"/>
      <w:headerReference w:type="default" r:id="rId23"/>
      <w:footerReference w:type="even" r:id="rId24"/>
      <w:footerReference w:type="default" r:id="rId25"/>
      <w:headerReference w:type="first" r:id="rId26"/>
      <w:pgSz w:w="11900" w:h="16840"/>
      <w:pgMar w:top="1418" w:right="1412"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3B40" w14:textId="77777777" w:rsidR="00C04FF0" w:rsidRDefault="00C04FF0" w:rsidP="001C18F2">
      <w:r>
        <w:separator/>
      </w:r>
    </w:p>
  </w:endnote>
  <w:endnote w:type="continuationSeparator" w:id="0">
    <w:p w14:paraId="5486A60A" w14:textId="77777777" w:rsidR="00C04FF0" w:rsidRDefault="00C04FF0" w:rsidP="001C18F2">
      <w:r>
        <w:continuationSeparator/>
      </w:r>
    </w:p>
  </w:endnote>
  <w:endnote w:type="continuationNotice" w:id="1">
    <w:p w14:paraId="32332EB9" w14:textId="77777777" w:rsidR="00C04FF0" w:rsidRDefault="00C04F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 w:name="Times New Roman (Body CS)">
    <w:altName w:val="Times New Roman"/>
    <w:charset w:val="00"/>
    <w:family w:val="roman"/>
    <w:pitch w:val="variable"/>
    <w:sig w:usb0="E0002AFF" w:usb1="C0007841" w:usb2="00000009" w:usb3="00000000" w:csb0="000001FF" w:csb1="00000000"/>
  </w:font>
  <w:font w:name="Times New Roman (Headings CS)">
    <w:altName w:val="Arial"/>
    <w:panose1 w:val="00000000000000000000"/>
    <w:charset w:val="00"/>
    <w:family w:val="roman"/>
    <w:notTrueType/>
    <w:pitch w:val="default"/>
  </w:font>
  <w:font w:name="Microsoft YaHei Light">
    <w:panose1 w:val="020B0502040204020203"/>
    <w:charset w:val="86"/>
    <w:family w:val="swiss"/>
    <w:pitch w:val="variable"/>
    <w:sig w:usb0="80000287" w:usb1="2ACF001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FAF2" w14:textId="798D1EAD" w:rsidR="00F501A9" w:rsidRPr="007B5582" w:rsidRDefault="00F501A9" w:rsidP="00F501A9">
    <w:pPr>
      <w:spacing w:before="240" w:after="240"/>
      <w:rPr>
        <w:rFonts w:ascii="Arial" w:hAnsi="Arial" w:cs="Arial"/>
        <w:color w:val="595959" w:themeColor="text1" w:themeTint="A6"/>
        <w:sz w:val="22"/>
        <w:szCs w:val="22"/>
      </w:rPr>
    </w:pPr>
    <w:r w:rsidRPr="007B5582">
      <w:rPr>
        <w:rStyle w:val="PageNumber"/>
        <w:rFonts w:ascii="Arial" w:hAnsi="Arial" w:cs="Arial"/>
        <w:b w:val="0"/>
        <w:bCs/>
        <w:color w:val="595959" w:themeColor="text1" w:themeTint="A6"/>
        <w:sz w:val="22"/>
        <w:szCs w:val="22"/>
      </w:rPr>
      <w:t xml:space="preserve">Page </w:t>
    </w:r>
    <w:r w:rsidRPr="007B5582">
      <w:rPr>
        <w:rStyle w:val="PageNumber"/>
        <w:rFonts w:ascii="Arial" w:hAnsi="Arial" w:cs="Arial"/>
        <w:b w:val="0"/>
        <w:bCs/>
        <w:color w:val="595959" w:themeColor="text1" w:themeTint="A6"/>
        <w:sz w:val="22"/>
        <w:szCs w:val="22"/>
      </w:rPr>
      <w:fldChar w:fldCharType="begin"/>
    </w:r>
    <w:r w:rsidRPr="007B5582">
      <w:rPr>
        <w:rStyle w:val="PageNumber"/>
        <w:rFonts w:ascii="Arial" w:hAnsi="Arial" w:cs="Arial"/>
        <w:b w:val="0"/>
        <w:bCs/>
        <w:color w:val="595959" w:themeColor="text1" w:themeTint="A6"/>
        <w:sz w:val="22"/>
        <w:szCs w:val="22"/>
      </w:rPr>
      <w:instrText xml:space="preserve"> PAGE </w:instrText>
    </w:r>
    <w:r w:rsidRPr="007B5582">
      <w:rPr>
        <w:rStyle w:val="PageNumber"/>
        <w:rFonts w:ascii="Arial" w:hAnsi="Arial" w:cs="Arial"/>
        <w:b w:val="0"/>
        <w:bCs/>
        <w:color w:val="595959" w:themeColor="text1" w:themeTint="A6"/>
        <w:sz w:val="22"/>
        <w:szCs w:val="22"/>
      </w:rPr>
      <w:fldChar w:fldCharType="separate"/>
    </w:r>
    <w:r w:rsidRPr="007B5582">
      <w:rPr>
        <w:rStyle w:val="PageNumber"/>
        <w:rFonts w:ascii="Arial" w:hAnsi="Arial" w:cs="Arial"/>
        <w:b w:val="0"/>
        <w:bCs/>
        <w:noProof/>
        <w:color w:val="595959" w:themeColor="text1" w:themeTint="A6"/>
        <w:sz w:val="22"/>
        <w:szCs w:val="22"/>
      </w:rPr>
      <w:t>3</w:t>
    </w:r>
    <w:r w:rsidRPr="007B5582">
      <w:rPr>
        <w:rStyle w:val="PageNumber"/>
        <w:rFonts w:ascii="Arial" w:hAnsi="Arial" w:cs="Arial"/>
        <w:b w:val="0"/>
        <w:bCs/>
        <w:color w:val="595959" w:themeColor="text1" w:themeTint="A6"/>
        <w:sz w:val="22"/>
        <w:szCs w:val="22"/>
      </w:rPr>
      <w:fldChar w:fldCharType="end"/>
    </w:r>
    <w:r w:rsidRPr="007B5582">
      <w:rPr>
        <w:rStyle w:val="PageNumber"/>
        <w:rFonts w:ascii="Arial" w:hAnsi="Arial" w:cs="Arial"/>
        <w:b w:val="0"/>
        <w:bCs/>
        <w:color w:val="595959" w:themeColor="text1" w:themeTint="A6"/>
        <w:sz w:val="22"/>
        <w:szCs w:val="22"/>
      </w:rPr>
      <w:t xml:space="preserve"> of </w:t>
    </w:r>
    <w:r w:rsidRPr="007B5582">
      <w:rPr>
        <w:rStyle w:val="PageNumber"/>
        <w:rFonts w:ascii="Arial" w:hAnsi="Arial" w:cs="Arial"/>
        <w:b w:val="0"/>
        <w:bCs/>
        <w:color w:val="595959" w:themeColor="text1" w:themeTint="A6"/>
        <w:sz w:val="22"/>
        <w:szCs w:val="22"/>
      </w:rPr>
      <w:fldChar w:fldCharType="begin"/>
    </w:r>
    <w:r w:rsidRPr="007B5582">
      <w:rPr>
        <w:rStyle w:val="PageNumber"/>
        <w:rFonts w:ascii="Arial" w:hAnsi="Arial" w:cs="Arial"/>
        <w:b w:val="0"/>
        <w:bCs/>
        <w:color w:val="595959" w:themeColor="text1" w:themeTint="A6"/>
        <w:sz w:val="22"/>
        <w:szCs w:val="22"/>
      </w:rPr>
      <w:instrText xml:space="preserve"> NUMPAGES </w:instrText>
    </w:r>
    <w:r w:rsidRPr="007B5582">
      <w:rPr>
        <w:rStyle w:val="PageNumber"/>
        <w:rFonts w:ascii="Arial" w:hAnsi="Arial" w:cs="Arial"/>
        <w:b w:val="0"/>
        <w:bCs/>
        <w:color w:val="595959" w:themeColor="text1" w:themeTint="A6"/>
        <w:sz w:val="22"/>
        <w:szCs w:val="22"/>
      </w:rPr>
      <w:fldChar w:fldCharType="separate"/>
    </w:r>
    <w:r w:rsidRPr="007B5582">
      <w:rPr>
        <w:rStyle w:val="PageNumber"/>
        <w:rFonts w:ascii="Arial" w:hAnsi="Arial" w:cs="Arial"/>
        <w:b w:val="0"/>
        <w:bCs/>
        <w:noProof/>
        <w:color w:val="595959" w:themeColor="text1" w:themeTint="A6"/>
        <w:sz w:val="22"/>
        <w:szCs w:val="22"/>
      </w:rPr>
      <w:t>3</w:t>
    </w:r>
    <w:r w:rsidRPr="007B5582">
      <w:rPr>
        <w:rStyle w:val="PageNumber"/>
        <w:rFonts w:ascii="Arial" w:hAnsi="Arial" w:cs="Arial"/>
        <w:b w:val="0"/>
        <w:bCs/>
        <w:color w:val="595959" w:themeColor="text1" w:themeTint="A6"/>
        <w:sz w:val="22"/>
        <w:szCs w:val="22"/>
      </w:rPr>
      <w:fldChar w:fldCharType="end"/>
    </w:r>
    <w:r w:rsidRPr="007B5582">
      <w:rPr>
        <w:rStyle w:val="PageNumber"/>
        <w:rFonts w:ascii="Arial" w:hAnsi="Arial" w:cs="Arial"/>
        <w:color w:val="595959" w:themeColor="text1" w:themeTint="A6"/>
        <w:sz w:val="22"/>
        <w:szCs w:val="22"/>
      </w:rPr>
      <w:br/>
    </w:r>
    <w:r w:rsidRPr="007B5582">
      <w:rPr>
        <w:rFonts w:ascii="Arial" w:hAnsi="Arial" w:cs="Arial"/>
        <w:noProof/>
        <w:color w:val="595959" w:themeColor="text1" w:themeTint="A6"/>
        <w:sz w:val="22"/>
        <w:szCs w:val="22"/>
        <w:lang w:val="en-US"/>
      </w:rPr>
      <w:drawing>
        <wp:anchor distT="0" distB="0" distL="114300" distR="114300" simplePos="0" relativeHeight="251656192" behindDoc="1" locked="1" layoutInCell="1" allowOverlap="1" wp14:anchorId="60B49314" wp14:editId="784A37E7">
          <wp:simplePos x="0" y="0"/>
          <wp:positionH relativeFrom="page">
            <wp:posOffset>-671195</wp:posOffset>
          </wp:positionH>
          <wp:positionV relativeFrom="page">
            <wp:posOffset>9908540</wp:posOffset>
          </wp:positionV>
          <wp:extent cx="1370330" cy="871855"/>
          <wp:effectExtent l="0" t="0" r="127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70330" cy="871855"/>
                  </a:xfrm>
                  <a:prstGeom prst="rect">
                    <a:avLst/>
                  </a:prstGeom>
                </pic:spPr>
              </pic:pic>
            </a:graphicData>
          </a:graphic>
          <wp14:sizeRelH relativeFrom="margin">
            <wp14:pctWidth>0</wp14:pctWidth>
          </wp14:sizeRelH>
          <wp14:sizeRelV relativeFrom="margin">
            <wp14:pctHeight>0</wp14:pctHeight>
          </wp14:sizeRelV>
        </wp:anchor>
      </w:drawing>
    </w:r>
    <w:r w:rsidR="005C1999" w:rsidRPr="007B5582">
      <w:rPr>
        <w:rFonts w:ascii="Arial" w:hAnsi="Arial" w:cs="Arial"/>
        <w:noProof/>
        <w:color w:val="595959" w:themeColor="text1" w:themeTint="A6"/>
        <w:sz w:val="22"/>
        <w:szCs w:val="22"/>
        <w:lang w:val="en-US"/>
      </w:rPr>
      <w:t>Fire Service Act Review</w:t>
    </w:r>
    <w:r w:rsidRPr="007B5582">
      <w:rPr>
        <w:rFonts w:ascii="Arial" w:hAnsi="Arial" w:cs="Arial"/>
        <w:color w:val="595959" w:themeColor="text1" w:themeTint="A6"/>
        <w:sz w:val="22"/>
        <w:szCs w:val="22"/>
      </w:rPr>
      <w:t xml:space="preserve"> </w:t>
    </w:r>
    <w:r w:rsidR="001C511E" w:rsidRPr="007B5582">
      <w:rPr>
        <w:rFonts w:ascii="Arial" w:hAnsi="Arial" w:cs="Arial"/>
        <w:color w:val="595959" w:themeColor="text1" w:themeTint="A6"/>
        <w:sz w:val="22"/>
        <w:szCs w:val="22"/>
      </w:rPr>
      <w:t>–</w:t>
    </w:r>
    <w:r w:rsidRPr="007B5582">
      <w:rPr>
        <w:rFonts w:ascii="Arial" w:hAnsi="Arial" w:cs="Arial"/>
        <w:color w:val="595959" w:themeColor="text1" w:themeTint="A6"/>
        <w:sz w:val="22"/>
        <w:szCs w:val="22"/>
      </w:rPr>
      <w:t xml:space="preserve"> </w:t>
    </w:r>
    <w:r w:rsidR="005C1999" w:rsidRPr="007B5582">
      <w:rPr>
        <w:rFonts w:ascii="Arial" w:hAnsi="Arial" w:cs="Arial"/>
        <w:color w:val="595959" w:themeColor="text1" w:themeTint="A6"/>
        <w:sz w:val="22"/>
        <w:szCs w:val="22"/>
      </w:rPr>
      <w:t xml:space="preserve">Consultation </w:t>
    </w:r>
    <w:r w:rsidR="005F1B79" w:rsidRPr="007B5582">
      <w:rPr>
        <w:rFonts w:ascii="Arial" w:hAnsi="Arial" w:cs="Arial"/>
        <w:color w:val="595959" w:themeColor="text1" w:themeTint="A6"/>
        <w:sz w:val="22"/>
        <w:szCs w:val="22"/>
      </w:rPr>
      <w:t xml:space="preserve">Outcomes Report Michael Stevens </w:t>
    </w:r>
    <w:r w:rsidRPr="007B5582">
      <w:rPr>
        <w:rFonts w:ascii="Arial" w:hAnsi="Arial" w:cs="Arial"/>
        <w:noProof/>
        <w:color w:val="595959" w:themeColor="text1" w:themeTint="A6"/>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38AD" w14:textId="7EA75353" w:rsidR="001C18F2" w:rsidRDefault="001C18F2" w:rsidP="00DA25F5">
    <w:pPr>
      <w:pStyle w:val="TasGovDepartmentName"/>
      <w:tabs>
        <w:tab w:val="left" w:pos="8364"/>
      </w:tabs>
      <w:spacing w:before="0" w:after="0"/>
      <w:ind w:right="-1410"/>
    </w:pPr>
    <w:r>
      <w:rPr>
        <w:noProof/>
        <w:lang w:val="en-US"/>
      </w:rPr>
      <w:drawing>
        <wp:anchor distT="0" distB="0" distL="114300" distR="114300" simplePos="0" relativeHeight="251659264" behindDoc="1" locked="1" layoutInCell="1" allowOverlap="1" wp14:anchorId="35629CF7" wp14:editId="524F97C5">
          <wp:simplePos x="0" y="0"/>
          <wp:positionH relativeFrom="page">
            <wp:posOffset>8890</wp:posOffset>
          </wp:positionH>
          <wp:positionV relativeFrom="page">
            <wp:posOffset>6610350</wp:posOffset>
          </wp:positionV>
          <wp:extent cx="7559040" cy="282892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34907"/>
                  <a:stretch/>
                </pic:blipFill>
                <pic:spPr bwMode="auto">
                  <a:xfrm>
                    <a:off x="0" y="0"/>
                    <a:ext cx="7559040" cy="28289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rsidR="00BE56F0">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B8D4" w14:textId="77777777" w:rsidR="007C0F1F" w:rsidRPr="006F0DA0" w:rsidRDefault="007C0F1F" w:rsidP="007C0F1F">
    <w:pPr>
      <w:pStyle w:val="Footer"/>
      <w:ind w:right="1138" w:firstLine="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4931" w14:textId="77777777" w:rsidR="007C0F1F" w:rsidRDefault="00FB37A3" w:rsidP="007C0F1F">
    <w:pPr>
      <w:pStyle w:val="Footer"/>
      <w:ind w:right="1134" w:firstLine="360"/>
    </w:pPr>
    <w:r>
      <w:rPr>
        <w:noProof/>
        <w:lang w:val="en-US"/>
      </w:rPr>
      <w:drawing>
        <wp:anchor distT="0" distB="0" distL="114300" distR="114300" simplePos="0" relativeHeight="251659776" behindDoc="1" locked="1" layoutInCell="1" allowOverlap="1" wp14:anchorId="6C220355" wp14:editId="0148F592">
          <wp:simplePos x="0" y="0"/>
          <wp:positionH relativeFrom="page">
            <wp:posOffset>0</wp:posOffset>
          </wp:positionH>
          <wp:positionV relativeFrom="page">
            <wp:posOffset>8604885</wp:posOffset>
          </wp:positionV>
          <wp:extent cx="7560000" cy="2829600"/>
          <wp:effectExtent l="0" t="0" r="0"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34907"/>
                  <a:stretch/>
                </pic:blipFill>
                <pic:spPr bwMode="auto">
                  <a:xfrm>
                    <a:off x="0" y="0"/>
                    <a:ext cx="7560000" cy="282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11AA" w14:textId="77777777" w:rsidR="00C04FF0" w:rsidRDefault="00C04FF0" w:rsidP="001C18F2">
      <w:r>
        <w:separator/>
      </w:r>
    </w:p>
  </w:footnote>
  <w:footnote w:type="continuationSeparator" w:id="0">
    <w:p w14:paraId="4F00629E" w14:textId="77777777" w:rsidR="00C04FF0" w:rsidRDefault="00C04FF0" w:rsidP="001C18F2">
      <w:r>
        <w:continuationSeparator/>
      </w:r>
    </w:p>
  </w:footnote>
  <w:footnote w:type="continuationNotice" w:id="1">
    <w:p w14:paraId="52E63D7E" w14:textId="77777777" w:rsidR="00C04FF0" w:rsidRDefault="00C04F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F3A8" w14:textId="77777777" w:rsidR="007C0F1F" w:rsidRDefault="007C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9D33" w14:textId="77777777" w:rsidR="007C0F1F" w:rsidRDefault="007C0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E2AF" w14:textId="77777777" w:rsidR="007C0F1F" w:rsidRDefault="007C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3C"/>
    <w:multiLevelType w:val="hybridMultilevel"/>
    <w:tmpl w:val="B79EB4A4"/>
    <w:lvl w:ilvl="0" w:tplc="0C090003">
      <w:start w:val="1"/>
      <w:numFmt w:val="bullet"/>
      <w:lvlText w:val="o"/>
      <w:lvlJc w:val="left"/>
      <w:pPr>
        <w:ind w:left="1989" w:hanging="360"/>
      </w:pPr>
      <w:rPr>
        <w:rFonts w:ascii="Courier New" w:hAnsi="Courier New" w:cs="Courier New" w:hint="default"/>
      </w:rPr>
    </w:lvl>
    <w:lvl w:ilvl="1" w:tplc="0C090003" w:tentative="1">
      <w:start w:val="1"/>
      <w:numFmt w:val="bullet"/>
      <w:lvlText w:val="o"/>
      <w:lvlJc w:val="left"/>
      <w:pPr>
        <w:ind w:left="2709" w:hanging="360"/>
      </w:pPr>
      <w:rPr>
        <w:rFonts w:ascii="Courier New" w:hAnsi="Courier New" w:cs="Courier New" w:hint="default"/>
      </w:rPr>
    </w:lvl>
    <w:lvl w:ilvl="2" w:tplc="0C090005" w:tentative="1">
      <w:start w:val="1"/>
      <w:numFmt w:val="bullet"/>
      <w:lvlText w:val=""/>
      <w:lvlJc w:val="left"/>
      <w:pPr>
        <w:ind w:left="3429" w:hanging="360"/>
      </w:pPr>
      <w:rPr>
        <w:rFonts w:ascii="Wingdings" w:hAnsi="Wingdings" w:hint="default"/>
      </w:rPr>
    </w:lvl>
    <w:lvl w:ilvl="3" w:tplc="0C090001" w:tentative="1">
      <w:start w:val="1"/>
      <w:numFmt w:val="bullet"/>
      <w:lvlText w:val=""/>
      <w:lvlJc w:val="left"/>
      <w:pPr>
        <w:ind w:left="4149" w:hanging="360"/>
      </w:pPr>
      <w:rPr>
        <w:rFonts w:ascii="Symbol" w:hAnsi="Symbol" w:hint="default"/>
      </w:rPr>
    </w:lvl>
    <w:lvl w:ilvl="4" w:tplc="0C090003" w:tentative="1">
      <w:start w:val="1"/>
      <w:numFmt w:val="bullet"/>
      <w:lvlText w:val="o"/>
      <w:lvlJc w:val="left"/>
      <w:pPr>
        <w:ind w:left="4869" w:hanging="360"/>
      </w:pPr>
      <w:rPr>
        <w:rFonts w:ascii="Courier New" w:hAnsi="Courier New" w:cs="Courier New" w:hint="default"/>
      </w:rPr>
    </w:lvl>
    <w:lvl w:ilvl="5" w:tplc="0C090005" w:tentative="1">
      <w:start w:val="1"/>
      <w:numFmt w:val="bullet"/>
      <w:lvlText w:val=""/>
      <w:lvlJc w:val="left"/>
      <w:pPr>
        <w:ind w:left="5589" w:hanging="360"/>
      </w:pPr>
      <w:rPr>
        <w:rFonts w:ascii="Wingdings" w:hAnsi="Wingdings" w:hint="default"/>
      </w:rPr>
    </w:lvl>
    <w:lvl w:ilvl="6" w:tplc="0C090001" w:tentative="1">
      <w:start w:val="1"/>
      <w:numFmt w:val="bullet"/>
      <w:lvlText w:val=""/>
      <w:lvlJc w:val="left"/>
      <w:pPr>
        <w:ind w:left="6309" w:hanging="360"/>
      </w:pPr>
      <w:rPr>
        <w:rFonts w:ascii="Symbol" w:hAnsi="Symbol" w:hint="default"/>
      </w:rPr>
    </w:lvl>
    <w:lvl w:ilvl="7" w:tplc="0C090003" w:tentative="1">
      <w:start w:val="1"/>
      <w:numFmt w:val="bullet"/>
      <w:lvlText w:val="o"/>
      <w:lvlJc w:val="left"/>
      <w:pPr>
        <w:ind w:left="7029" w:hanging="360"/>
      </w:pPr>
      <w:rPr>
        <w:rFonts w:ascii="Courier New" w:hAnsi="Courier New" w:cs="Courier New" w:hint="default"/>
      </w:rPr>
    </w:lvl>
    <w:lvl w:ilvl="8" w:tplc="0C090005" w:tentative="1">
      <w:start w:val="1"/>
      <w:numFmt w:val="bullet"/>
      <w:lvlText w:val=""/>
      <w:lvlJc w:val="left"/>
      <w:pPr>
        <w:ind w:left="7749" w:hanging="360"/>
      </w:pPr>
      <w:rPr>
        <w:rFonts w:ascii="Wingdings" w:hAnsi="Wingdings" w:hint="default"/>
      </w:rPr>
    </w:lvl>
  </w:abstractNum>
  <w:abstractNum w:abstractNumId="1" w15:restartNumberingAfterBreak="0">
    <w:nsid w:val="016C300F"/>
    <w:multiLevelType w:val="hybridMultilevel"/>
    <w:tmpl w:val="BF3C197C"/>
    <w:lvl w:ilvl="0" w:tplc="18E0CD2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3D8218C0">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DF74E288">
      <w:numFmt w:val="bullet"/>
      <w:lvlText w:val="•"/>
      <w:lvlJc w:val="left"/>
      <w:pPr>
        <w:ind w:left="1985" w:hanging="425"/>
      </w:pPr>
      <w:rPr>
        <w:rFonts w:hint="default"/>
        <w:lang w:val="en-AU" w:eastAsia="en-US" w:bidi="ar-SA"/>
      </w:rPr>
    </w:lvl>
    <w:lvl w:ilvl="3" w:tplc="3FC24E8C">
      <w:numFmt w:val="bullet"/>
      <w:lvlText w:val="•"/>
      <w:lvlJc w:val="left"/>
      <w:pPr>
        <w:ind w:left="2710" w:hanging="425"/>
      </w:pPr>
      <w:rPr>
        <w:rFonts w:hint="default"/>
        <w:lang w:val="en-AU" w:eastAsia="en-US" w:bidi="ar-SA"/>
      </w:rPr>
    </w:lvl>
    <w:lvl w:ilvl="4" w:tplc="DF76735A">
      <w:numFmt w:val="bullet"/>
      <w:lvlText w:val="•"/>
      <w:lvlJc w:val="left"/>
      <w:pPr>
        <w:ind w:left="3436" w:hanging="425"/>
      </w:pPr>
      <w:rPr>
        <w:rFonts w:hint="default"/>
        <w:lang w:val="en-AU" w:eastAsia="en-US" w:bidi="ar-SA"/>
      </w:rPr>
    </w:lvl>
    <w:lvl w:ilvl="5" w:tplc="B56ED5F6">
      <w:numFmt w:val="bullet"/>
      <w:lvlText w:val="•"/>
      <w:lvlJc w:val="left"/>
      <w:pPr>
        <w:ind w:left="4161" w:hanging="425"/>
      </w:pPr>
      <w:rPr>
        <w:rFonts w:hint="default"/>
        <w:lang w:val="en-AU" w:eastAsia="en-US" w:bidi="ar-SA"/>
      </w:rPr>
    </w:lvl>
    <w:lvl w:ilvl="6" w:tplc="B6E29B3A">
      <w:numFmt w:val="bullet"/>
      <w:lvlText w:val="•"/>
      <w:lvlJc w:val="left"/>
      <w:pPr>
        <w:ind w:left="4887" w:hanging="425"/>
      </w:pPr>
      <w:rPr>
        <w:rFonts w:hint="default"/>
        <w:lang w:val="en-AU" w:eastAsia="en-US" w:bidi="ar-SA"/>
      </w:rPr>
    </w:lvl>
    <w:lvl w:ilvl="7" w:tplc="9B00D4DA">
      <w:numFmt w:val="bullet"/>
      <w:lvlText w:val="•"/>
      <w:lvlJc w:val="left"/>
      <w:pPr>
        <w:ind w:left="5612" w:hanging="425"/>
      </w:pPr>
      <w:rPr>
        <w:rFonts w:hint="default"/>
        <w:lang w:val="en-AU" w:eastAsia="en-US" w:bidi="ar-SA"/>
      </w:rPr>
    </w:lvl>
    <w:lvl w:ilvl="8" w:tplc="31E0DBD0">
      <w:numFmt w:val="bullet"/>
      <w:lvlText w:val="•"/>
      <w:lvlJc w:val="left"/>
      <w:pPr>
        <w:ind w:left="6338" w:hanging="425"/>
      </w:pPr>
      <w:rPr>
        <w:rFonts w:hint="default"/>
        <w:lang w:val="en-AU" w:eastAsia="en-US" w:bidi="ar-SA"/>
      </w:rPr>
    </w:lvl>
  </w:abstractNum>
  <w:abstractNum w:abstractNumId="2" w15:restartNumberingAfterBreak="0">
    <w:nsid w:val="030F03BA"/>
    <w:multiLevelType w:val="hybridMultilevel"/>
    <w:tmpl w:val="2A648DF6"/>
    <w:lvl w:ilvl="0" w:tplc="B37642F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1AB02D10">
      <w:numFmt w:val="bullet"/>
      <w:lvlText w:val="•"/>
      <w:lvlJc w:val="left"/>
      <w:pPr>
        <w:ind w:left="1390" w:hanging="579"/>
      </w:pPr>
      <w:rPr>
        <w:rFonts w:hint="default"/>
        <w:lang w:val="en-AU" w:eastAsia="en-US" w:bidi="ar-SA"/>
      </w:rPr>
    </w:lvl>
    <w:lvl w:ilvl="2" w:tplc="2676F694">
      <w:numFmt w:val="bullet"/>
      <w:lvlText w:val="•"/>
      <w:lvlJc w:val="left"/>
      <w:pPr>
        <w:ind w:left="2101" w:hanging="579"/>
      </w:pPr>
      <w:rPr>
        <w:rFonts w:hint="default"/>
        <w:lang w:val="en-AU" w:eastAsia="en-US" w:bidi="ar-SA"/>
      </w:rPr>
    </w:lvl>
    <w:lvl w:ilvl="3" w:tplc="4E3A557C">
      <w:numFmt w:val="bullet"/>
      <w:lvlText w:val="•"/>
      <w:lvlJc w:val="left"/>
      <w:pPr>
        <w:ind w:left="2812" w:hanging="579"/>
      </w:pPr>
      <w:rPr>
        <w:rFonts w:hint="default"/>
        <w:lang w:val="en-AU" w:eastAsia="en-US" w:bidi="ar-SA"/>
      </w:rPr>
    </w:lvl>
    <w:lvl w:ilvl="4" w:tplc="D8F84FA6">
      <w:numFmt w:val="bullet"/>
      <w:lvlText w:val="•"/>
      <w:lvlJc w:val="left"/>
      <w:pPr>
        <w:ind w:left="3523" w:hanging="579"/>
      </w:pPr>
      <w:rPr>
        <w:rFonts w:hint="default"/>
        <w:lang w:val="en-AU" w:eastAsia="en-US" w:bidi="ar-SA"/>
      </w:rPr>
    </w:lvl>
    <w:lvl w:ilvl="5" w:tplc="042201A4">
      <w:numFmt w:val="bullet"/>
      <w:lvlText w:val="•"/>
      <w:lvlJc w:val="left"/>
      <w:pPr>
        <w:ind w:left="4234" w:hanging="579"/>
      </w:pPr>
      <w:rPr>
        <w:rFonts w:hint="default"/>
        <w:lang w:val="en-AU" w:eastAsia="en-US" w:bidi="ar-SA"/>
      </w:rPr>
    </w:lvl>
    <w:lvl w:ilvl="6" w:tplc="442E2CB8">
      <w:numFmt w:val="bullet"/>
      <w:lvlText w:val="•"/>
      <w:lvlJc w:val="left"/>
      <w:pPr>
        <w:ind w:left="4945" w:hanging="579"/>
      </w:pPr>
      <w:rPr>
        <w:rFonts w:hint="default"/>
        <w:lang w:val="en-AU" w:eastAsia="en-US" w:bidi="ar-SA"/>
      </w:rPr>
    </w:lvl>
    <w:lvl w:ilvl="7" w:tplc="E9E81996">
      <w:numFmt w:val="bullet"/>
      <w:lvlText w:val="•"/>
      <w:lvlJc w:val="left"/>
      <w:pPr>
        <w:ind w:left="5656" w:hanging="579"/>
      </w:pPr>
      <w:rPr>
        <w:rFonts w:hint="default"/>
        <w:lang w:val="en-AU" w:eastAsia="en-US" w:bidi="ar-SA"/>
      </w:rPr>
    </w:lvl>
    <w:lvl w:ilvl="8" w:tplc="FE8CD6E4">
      <w:numFmt w:val="bullet"/>
      <w:lvlText w:val="•"/>
      <w:lvlJc w:val="left"/>
      <w:pPr>
        <w:ind w:left="6367" w:hanging="579"/>
      </w:pPr>
      <w:rPr>
        <w:rFonts w:hint="default"/>
        <w:lang w:val="en-AU" w:eastAsia="en-US" w:bidi="ar-SA"/>
      </w:rPr>
    </w:lvl>
  </w:abstractNum>
  <w:abstractNum w:abstractNumId="3" w15:restartNumberingAfterBreak="0">
    <w:nsid w:val="03F5076C"/>
    <w:multiLevelType w:val="hybridMultilevel"/>
    <w:tmpl w:val="F21E248A"/>
    <w:lvl w:ilvl="0" w:tplc="2D740C4C">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4446A8A4">
      <w:numFmt w:val="bullet"/>
      <w:lvlText w:val="•"/>
      <w:lvlJc w:val="left"/>
      <w:pPr>
        <w:ind w:left="1390" w:hanging="579"/>
      </w:pPr>
      <w:rPr>
        <w:rFonts w:hint="default"/>
        <w:lang w:val="en-AU" w:eastAsia="en-US" w:bidi="ar-SA"/>
      </w:rPr>
    </w:lvl>
    <w:lvl w:ilvl="2" w:tplc="0E3A3166">
      <w:numFmt w:val="bullet"/>
      <w:lvlText w:val="•"/>
      <w:lvlJc w:val="left"/>
      <w:pPr>
        <w:ind w:left="2101" w:hanging="579"/>
      </w:pPr>
      <w:rPr>
        <w:rFonts w:hint="default"/>
        <w:lang w:val="en-AU" w:eastAsia="en-US" w:bidi="ar-SA"/>
      </w:rPr>
    </w:lvl>
    <w:lvl w:ilvl="3" w:tplc="96E440F8">
      <w:numFmt w:val="bullet"/>
      <w:lvlText w:val="•"/>
      <w:lvlJc w:val="left"/>
      <w:pPr>
        <w:ind w:left="2812" w:hanging="579"/>
      </w:pPr>
      <w:rPr>
        <w:rFonts w:hint="default"/>
        <w:lang w:val="en-AU" w:eastAsia="en-US" w:bidi="ar-SA"/>
      </w:rPr>
    </w:lvl>
    <w:lvl w:ilvl="4" w:tplc="B62650FE">
      <w:numFmt w:val="bullet"/>
      <w:lvlText w:val="•"/>
      <w:lvlJc w:val="left"/>
      <w:pPr>
        <w:ind w:left="3523" w:hanging="579"/>
      </w:pPr>
      <w:rPr>
        <w:rFonts w:hint="default"/>
        <w:lang w:val="en-AU" w:eastAsia="en-US" w:bidi="ar-SA"/>
      </w:rPr>
    </w:lvl>
    <w:lvl w:ilvl="5" w:tplc="734A3DE6">
      <w:numFmt w:val="bullet"/>
      <w:lvlText w:val="•"/>
      <w:lvlJc w:val="left"/>
      <w:pPr>
        <w:ind w:left="4234" w:hanging="579"/>
      </w:pPr>
      <w:rPr>
        <w:rFonts w:hint="default"/>
        <w:lang w:val="en-AU" w:eastAsia="en-US" w:bidi="ar-SA"/>
      </w:rPr>
    </w:lvl>
    <w:lvl w:ilvl="6" w:tplc="243C8390">
      <w:numFmt w:val="bullet"/>
      <w:lvlText w:val="•"/>
      <w:lvlJc w:val="left"/>
      <w:pPr>
        <w:ind w:left="4945" w:hanging="579"/>
      </w:pPr>
      <w:rPr>
        <w:rFonts w:hint="default"/>
        <w:lang w:val="en-AU" w:eastAsia="en-US" w:bidi="ar-SA"/>
      </w:rPr>
    </w:lvl>
    <w:lvl w:ilvl="7" w:tplc="B8A62F8E">
      <w:numFmt w:val="bullet"/>
      <w:lvlText w:val="•"/>
      <w:lvlJc w:val="left"/>
      <w:pPr>
        <w:ind w:left="5656" w:hanging="579"/>
      </w:pPr>
      <w:rPr>
        <w:rFonts w:hint="default"/>
        <w:lang w:val="en-AU" w:eastAsia="en-US" w:bidi="ar-SA"/>
      </w:rPr>
    </w:lvl>
    <w:lvl w:ilvl="8" w:tplc="B1F2205E">
      <w:numFmt w:val="bullet"/>
      <w:lvlText w:val="•"/>
      <w:lvlJc w:val="left"/>
      <w:pPr>
        <w:ind w:left="6367" w:hanging="579"/>
      </w:pPr>
      <w:rPr>
        <w:rFonts w:hint="default"/>
        <w:lang w:val="en-AU" w:eastAsia="en-US" w:bidi="ar-SA"/>
      </w:rPr>
    </w:lvl>
  </w:abstractNum>
  <w:abstractNum w:abstractNumId="4" w15:restartNumberingAfterBreak="0">
    <w:nsid w:val="057A3B90"/>
    <w:multiLevelType w:val="hybridMultilevel"/>
    <w:tmpl w:val="685C2D16"/>
    <w:lvl w:ilvl="0" w:tplc="02EED636">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5BF40286">
      <w:numFmt w:val="bullet"/>
      <w:lvlText w:val="•"/>
      <w:lvlJc w:val="left"/>
      <w:pPr>
        <w:ind w:left="1390" w:hanging="579"/>
      </w:pPr>
      <w:rPr>
        <w:rFonts w:hint="default"/>
        <w:lang w:val="en-AU" w:eastAsia="en-US" w:bidi="ar-SA"/>
      </w:rPr>
    </w:lvl>
    <w:lvl w:ilvl="2" w:tplc="08E6B1A8">
      <w:numFmt w:val="bullet"/>
      <w:lvlText w:val="•"/>
      <w:lvlJc w:val="left"/>
      <w:pPr>
        <w:ind w:left="2101" w:hanging="579"/>
      </w:pPr>
      <w:rPr>
        <w:rFonts w:hint="default"/>
        <w:lang w:val="en-AU" w:eastAsia="en-US" w:bidi="ar-SA"/>
      </w:rPr>
    </w:lvl>
    <w:lvl w:ilvl="3" w:tplc="10ACF462">
      <w:numFmt w:val="bullet"/>
      <w:lvlText w:val="•"/>
      <w:lvlJc w:val="left"/>
      <w:pPr>
        <w:ind w:left="2812" w:hanging="579"/>
      </w:pPr>
      <w:rPr>
        <w:rFonts w:hint="default"/>
        <w:lang w:val="en-AU" w:eastAsia="en-US" w:bidi="ar-SA"/>
      </w:rPr>
    </w:lvl>
    <w:lvl w:ilvl="4" w:tplc="F15E2AA0">
      <w:numFmt w:val="bullet"/>
      <w:lvlText w:val="•"/>
      <w:lvlJc w:val="left"/>
      <w:pPr>
        <w:ind w:left="3523" w:hanging="579"/>
      </w:pPr>
      <w:rPr>
        <w:rFonts w:hint="default"/>
        <w:lang w:val="en-AU" w:eastAsia="en-US" w:bidi="ar-SA"/>
      </w:rPr>
    </w:lvl>
    <w:lvl w:ilvl="5" w:tplc="7FBA7948">
      <w:numFmt w:val="bullet"/>
      <w:lvlText w:val="•"/>
      <w:lvlJc w:val="left"/>
      <w:pPr>
        <w:ind w:left="4234" w:hanging="579"/>
      </w:pPr>
      <w:rPr>
        <w:rFonts w:hint="default"/>
        <w:lang w:val="en-AU" w:eastAsia="en-US" w:bidi="ar-SA"/>
      </w:rPr>
    </w:lvl>
    <w:lvl w:ilvl="6" w:tplc="2652599E">
      <w:numFmt w:val="bullet"/>
      <w:lvlText w:val="•"/>
      <w:lvlJc w:val="left"/>
      <w:pPr>
        <w:ind w:left="4945" w:hanging="579"/>
      </w:pPr>
      <w:rPr>
        <w:rFonts w:hint="default"/>
        <w:lang w:val="en-AU" w:eastAsia="en-US" w:bidi="ar-SA"/>
      </w:rPr>
    </w:lvl>
    <w:lvl w:ilvl="7" w:tplc="7996E352">
      <w:numFmt w:val="bullet"/>
      <w:lvlText w:val="•"/>
      <w:lvlJc w:val="left"/>
      <w:pPr>
        <w:ind w:left="5656" w:hanging="579"/>
      </w:pPr>
      <w:rPr>
        <w:rFonts w:hint="default"/>
        <w:lang w:val="en-AU" w:eastAsia="en-US" w:bidi="ar-SA"/>
      </w:rPr>
    </w:lvl>
    <w:lvl w:ilvl="8" w:tplc="66AEAE4E">
      <w:numFmt w:val="bullet"/>
      <w:lvlText w:val="•"/>
      <w:lvlJc w:val="left"/>
      <w:pPr>
        <w:ind w:left="6367" w:hanging="579"/>
      </w:pPr>
      <w:rPr>
        <w:rFonts w:hint="default"/>
        <w:lang w:val="en-AU" w:eastAsia="en-US" w:bidi="ar-SA"/>
      </w:rPr>
    </w:lvl>
  </w:abstractNum>
  <w:abstractNum w:abstractNumId="5" w15:restartNumberingAfterBreak="0">
    <w:nsid w:val="06C97423"/>
    <w:multiLevelType w:val="hybridMultilevel"/>
    <w:tmpl w:val="47FE6AFE"/>
    <w:lvl w:ilvl="0" w:tplc="2AA4592A">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F702C0C2">
      <w:numFmt w:val="bullet"/>
      <w:lvlText w:val="•"/>
      <w:lvlJc w:val="left"/>
      <w:pPr>
        <w:ind w:left="1390" w:hanging="579"/>
      </w:pPr>
      <w:rPr>
        <w:rFonts w:hint="default"/>
        <w:lang w:val="en-AU" w:eastAsia="en-US" w:bidi="ar-SA"/>
      </w:rPr>
    </w:lvl>
    <w:lvl w:ilvl="2" w:tplc="83F00800">
      <w:numFmt w:val="bullet"/>
      <w:lvlText w:val="•"/>
      <w:lvlJc w:val="left"/>
      <w:pPr>
        <w:ind w:left="2101" w:hanging="579"/>
      </w:pPr>
      <w:rPr>
        <w:rFonts w:hint="default"/>
        <w:lang w:val="en-AU" w:eastAsia="en-US" w:bidi="ar-SA"/>
      </w:rPr>
    </w:lvl>
    <w:lvl w:ilvl="3" w:tplc="2796F45E">
      <w:numFmt w:val="bullet"/>
      <w:lvlText w:val="•"/>
      <w:lvlJc w:val="left"/>
      <w:pPr>
        <w:ind w:left="2812" w:hanging="579"/>
      </w:pPr>
      <w:rPr>
        <w:rFonts w:hint="default"/>
        <w:lang w:val="en-AU" w:eastAsia="en-US" w:bidi="ar-SA"/>
      </w:rPr>
    </w:lvl>
    <w:lvl w:ilvl="4" w:tplc="85A0CDAA">
      <w:numFmt w:val="bullet"/>
      <w:lvlText w:val="•"/>
      <w:lvlJc w:val="left"/>
      <w:pPr>
        <w:ind w:left="3523" w:hanging="579"/>
      </w:pPr>
      <w:rPr>
        <w:rFonts w:hint="default"/>
        <w:lang w:val="en-AU" w:eastAsia="en-US" w:bidi="ar-SA"/>
      </w:rPr>
    </w:lvl>
    <w:lvl w:ilvl="5" w:tplc="6B143994">
      <w:numFmt w:val="bullet"/>
      <w:lvlText w:val="•"/>
      <w:lvlJc w:val="left"/>
      <w:pPr>
        <w:ind w:left="4234" w:hanging="579"/>
      </w:pPr>
      <w:rPr>
        <w:rFonts w:hint="default"/>
        <w:lang w:val="en-AU" w:eastAsia="en-US" w:bidi="ar-SA"/>
      </w:rPr>
    </w:lvl>
    <w:lvl w:ilvl="6" w:tplc="34D4F784">
      <w:numFmt w:val="bullet"/>
      <w:lvlText w:val="•"/>
      <w:lvlJc w:val="left"/>
      <w:pPr>
        <w:ind w:left="4945" w:hanging="579"/>
      </w:pPr>
      <w:rPr>
        <w:rFonts w:hint="default"/>
        <w:lang w:val="en-AU" w:eastAsia="en-US" w:bidi="ar-SA"/>
      </w:rPr>
    </w:lvl>
    <w:lvl w:ilvl="7" w:tplc="33EE92EE">
      <w:numFmt w:val="bullet"/>
      <w:lvlText w:val="•"/>
      <w:lvlJc w:val="left"/>
      <w:pPr>
        <w:ind w:left="5656" w:hanging="579"/>
      </w:pPr>
      <w:rPr>
        <w:rFonts w:hint="default"/>
        <w:lang w:val="en-AU" w:eastAsia="en-US" w:bidi="ar-SA"/>
      </w:rPr>
    </w:lvl>
    <w:lvl w:ilvl="8" w:tplc="28966FA4">
      <w:numFmt w:val="bullet"/>
      <w:lvlText w:val="•"/>
      <w:lvlJc w:val="left"/>
      <w:pPr>
        <w:ind w:left="6367" w:hanging="579"/>
      </w:pPr>
      <w:rPr>
        <w:rFonts w:hint="default"/>
        <w:lang w:val="en-AU" w:eastAsia="en-US" w:bidi="ar-SA"/>
      </w:rPr>
    </w:lvl>
  </w:abstractNum>
  <w:abstractNum w:abstractNumId="6" w15:restartNumberingAfterBreak="0">
    <w:nsid w:val="07B55323"/>
    <w:multiLevelType w:val="hybridMultilevel"/>
    <w:tmpl w:val="3B7089A6"/>
    <w:lvl w:ilvl="0" w:tplc="212039D0">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29F4ED0C">
      <w:numFmt w:val="bullet"/>
      <w:lvlText w:val="•"/>
      <w:lvlJc w:val="left"/>
      <w:pPr>
        <w:ind w:left="1390" w:hanging="579"/>
      </w:pPr>
      <w:rPr>
        <w:rFonts w:hint="default"/>
        <w:lang w:val="en-AU" w:eastAsia="en-US" w:bidi="ar-SA"/>
      </w:rPr>
    </w:lvl>
    <w:lvl w:ilvl="2" w:tplc="748CAC54">
      <w:numFmt w:val="bullet"/>
      <w:lvlText w:val="•"/>
      <w:lvlJc w:val="left"/>
      <w:pPr>
        <w:ind w:left="2101" w:hanging="579"/>
      </w:pPr>
      <w:rPr>
        <w:rFonts w:hint="default"/>
        <w:lang w:val="en-AU" w:eastAsia="en-US" w:bidi="ar-SA"/>
      </w:rPr>
    </w:lvl>
    <w:lvl w:ilvl="3" w:tplc="B1F46ED8">
      <w:numFmt w:val="bullet"/>
      <w:lvlText w:val="•"/>
      <w:lvlJc w:val="left"/>
      <w:pPr>
        <w:ind w:left="2812" w:hanging="579"/>
      </w:pPr>
      <w:rPr>
        <w:rFonts w:hint="default"/>
        <w:lang w:val="en-AU" w:eastAsia="en-US" w:bidi="ar-SA"/>
      </w:rPr>
    </w:lvl>
    <w:lvl w:ilvl="4" w:tplc="F1A4A08A">
      <w:numFmt w:val="bullet"/>
      <w:lvlText w:val="•"/>
      <w:lvlJc w:val="left"/>
      <w:pPr>
        <w:ind w:left="3523" w:hanging="579"/>
      </w:pPr>
      <w:rPr>
        <w:rFonts w:hint="default"/>
        <w:lang w:val="en-AU" w:eastAsia="en-US" w:bidi="ar-SA"/>
      </w:rPr>
    </w:lvl>
    <w:lvl w:ilvl="5" w:tplc="527E0B88">
      <w:numFmt w:val="bullet"/>
      <w:lvlText w:val="•"/>
      <w:lvlJc w:val="left"/>
      <w:pPr>
        <w:ind w:left="4234" w:hanging="579"/>
      </w:pPr>
      <w:rPr>
        <w:rFonts w:hint="default"/>
        <w:lang w:val="en-AU" w:eastAsia="en-US" w:bidi="ar-SA"/>
      </w:rPr>
    </w:lvl>
    <w:lvl w:ilvl="6" w:tplc="A088F172">
      <w:numFmt w:val="bullet"/>
      <w:lvlText w:val="•"/>
      <w:lvlJc w:val="left"/>
      <w:pPr>
        <w:ind w:left="4945" w:hanging="579"/>
      </w:pPr>
      <w:rPr>
        <w:rFonts w:hint="default"/>
        <w:lang w:val="en-AU" w:eastAsia="en-US" w:bidi="ar-SA"/>
      </w:rPr>
    </w:lvl>
    <w:lvl w:ilvl="7" w:tplc="40A8C2E0">
      <w:numFmt w:val="bullet"/>
      <w:lvlText w:val="•"/>
      <w:lvlJc w:val="left"/>
      <w:pPr>
        <w:ind w:left="5656" w:hanging="579"/>
      </w:pPr>
      <w:rPr>
        <w:rFonts w:hint="default"/>
        <w:lang w:val="en-AU" w:eastAsia="en-US" w:bidi="ar-SA"/>
      </w:rPr>
    </w:lvl>
    <w:lvl w:ilvl="8" w:tplc="BEA2C280">
      <w:numFmt w:val="bullet"/>
      <w:lvlText w:val="•"/>
      <w:lvlJc w:val="left"/>
      <w:pPr>
        <w:ind w:left="6367" w:hanging="579"/>
      </w:pPr>
      <w:rPr>
        <w:rFonts w:hint="default"/>
        <w:lang w:val="en-AU" w:eastAsia="en-US" w:bidi="ar-SA"/>
      </w:rPr>
    </w:lvl>
  </w:abstractNum>
  <w:abstractNum w:abstractNumId="7" w15:restartNumberingAfterBreak="0">
    <w:nsid w:val="089A2299"/>
    <w:multiLevelType w:val="hybridMultilevel"/>
    <w:tmpl w:val="11F2BE8C"/>
    <w:lvl w:ilvl="0" w:tplc="923469EA">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BED203B8">
      <w:numFmt w:val="bullet"/>
      <w:lvlText w:val="•"/>
      <w:lvlJc w:val="left"/>
      <w:pPr>
        <w:ind w:left="1390" w:hanging="579"/>
      </w:pPr>
      <w:rPr>
        <w:rFonts w:hint="default"/>
        <w:lang w:val="en-AU" w:eastAsia="en-US" w:bidi="ar-SA"/>
      </w:rPr>
    </w:lvl>
    <w:lvl w:ilvl="2" w:tplc="2A0A4968">
      <w:numFmt w:val="bullet"/>
      <w:lvlText w:val="•"/>
      <w:lvlJc w:val="left"/>
      <w:pPr>
        <w:ind w:left="2101" w:hanging="579"/>
      </w:pPr>
      <w:rPr>
        <w:rFonts w:hint="default"/>
        <w:lang w:val="en-AU" w:eastAsia="en-US" w:bidi="ar-SA"/>
      </w:rPr>
    </w:lvl>
    <w:lvl w:ilvl="3" w:tplc="725484E2">
      <w:numFmt w:val="bullet"/>
      <w:lvlText w:val="•"/>
      <w:lvlJc w:val="left"/>
      <w:pPr>
        <w:ind w:left="2812" w:hanging="579"/>
      </w:pPr>
      <w:rPr>
        <w:rFonts w:hint="default"/>
        <w:lang w:val="en-AU" w:eastAsia="en-US" w:bidi="ar-SA"/>
      </w:rPr>
    </w:lvl>
    <w:lvl w:ilvl="4" w:tplc="676C1932">
      <w:numFmt w:val="bullet"/>
      <w:lvlText w:val="•"/>
      <w:lvlJc w:val="left"/>
      <w:pPr>
        <w:ind w:left="3523" w:hanging="579"/>
      </w:pPr>
      <w:rPr>
        <w:rFonts w:hint="default"/>
        <w:lang w:val="en-AU" w:eastAsia="en-US" w:bidi="ar-SA"/>
      </w:rPr>
    </w:lvl>
    <w:lvl w:ilvl="5" w:tplc="FC80434C">
      <w:numFmt w:val="bullet"/>
      <w:lvlText w:val="•"/>
      <w:lvlJc w:val="left"/>
      <w:pPr>
        <w:ind w:left="4234" w:hanging="579"/>
      </w:pPr>
      <w:rPr>
        <w:rFonts w:hint="default"/>
        <w:lang w:val="en-AU" w:eastAsia="en-US" w:bidi="ar-SA"/>
      </w:rPr>
    </w:lvl>
    <w:lvl w:ilvl="6" w:tplc="1AEC52CA">
      <w:numFmt w:val="bullet"/>
      <w:lvlText w:val="•"/>
      <w:lvlJc w:val="left"/>
      <w:pPr>
        <w:ind w:left="4945" w:hanging="579"/>
      </w:pPr>
      <w:rPr>
        <w:rFonts w:hint="default"/>
        <w:lang w:val="en-AU" w:eastAsia="en-US" w:bidi="ar-SA"/>
      </w:rPr>
    </w:lvl>
    <w:lvl w:ilvl="7" w:tplc="8514E684">
      <w:numFmt w:val="bullet"/>
      <w:lvlText w:val="•"/>
      <w:lvlJc w:val="left"/>
      <w:pPr>
        <w:ind w:left="5656" w:hanging="579"/>
      </w:pPr>
      <w:rPr>
        <w:rFonts w:hint="default"/>
        <w:lang w:val="en-AU" w:eastAsia="en-US" w:bidi="ar-SA"/>
      </w:rPr>
    </w:lvl>
    <w:lvl w:ilvl="8" w:tplc="E048E7F0">
      <w:numFmt w:val="bullet"/>
      <w:lvlText w:val="•"/>
      <w:lvlJc w:val="left"/>
      <w:pPr>
        <w:ind w:left="6367" w:hanging="579"/>
      </w:pPr>
      <w:rPr>
        <w:rFonts w:hint="default"/>
        <w:lang w:val="en-AU" w:eastAsia="en-US" w:bidi="ar-SA"/>
      </w:rPr>
    </w:lvl>
  </w:abstractNum>
  <w:abstractNum w:abstractNumId="8" w15:restartNumberingAfterBreak="0">
    <w:nsid w:val="0ADE1891"/>
    <w:multiLevelType w:val="hybridMultilevel"/>
    <w:tmpl w:val="58BCB14A"/>
    <w:lvl w:ilvl="0" w:tplc="E2EE4D2E">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57C81AF4">
      <w:numFmt w:val="bullet"/>
      <w:lvlText w:val="•"/>
      <w:lvlJc w:val="left"/>
      <w:pPr>
        <w:ind w:left="1390" w:hanging="579"/>
      </w:pPr>
      <w:rPr>
        <w:rFonts w:hint="default"/>
        <w:lang w:val="en-AU" w:eastAsia="en-US" w:bidi="ar-SA"/>
      </w:rPr>
    </w:lvl>
    <w:lvl w:ilvl="2" w:tplc="427C24FE">
      <w:numFmt w:val="bullet"/>
      <w:lvlText w:val="•"/>
      <w:lvlJc w:val="left"/>
      <w:pPr>
        <w:ind w:left="2101" w:hanging="579"/>
      </w:pPr>
      <w:rPr>
        <w:rFonts w:hint="default"/>
        <w:lang w:val="en-AU" w:eastAsia="en-US" w:bidi="ar-SA"/>
      </w:rPr>
    </w:lvl>
    <w:lvl w:ilvl="3" w:tplc="78561554">
      <w:numFmt w:val="bullet"/>
      <w:lvlText w:val="•"/>
      <w:lvlJc w:val="left"/>
      <w:pPr>
        <w:ind w:left="2812" w:hanging="579"/>
      </w:pPr>
      <w:rPr>
        <w:rFonts w:hint="default"/>
        <w:lang w:val="en-AU" w:eastAsia="en-US" w:bidi="ar-SA"/>
      </w:rPr>
    </w:lvl>
    <w:lvl w:ilvl="4" w:tplc="7AC8B2E6">
      <w:numFmt w:val="bullet"/>
      <w:lvlText w:val="•"/>
      <w:lvlJc w:val="left"/>
      <w:pPr>
        <w:ind w:left="3523" w:hanging="579"/>
      </w:pPr>
      <w:rPr>
        <w:rFonts w:hint="default"/>
        <w:lang w:val="en-AU" w:eastAsia="en-US" w:bidi="ar-SA"/>
      </w:rPr>
    </w:lvl>
    <w:lvl w:ilvl="5" w:tplc="9F3658D8">
      <w:numFmt w:val="bullet"/>
      <w:lvlText w:val="•"/>
      <w:lvlJc w:val="left"/>
      <w:pPr>
        <w:ind w:left="4234" w:hanging="579"/>
      </w:pPr>
      <w:rPr>
        <w:rFonts w:hint="default"/>
        <w:lang w:val="en-AU" w:eastAsia="en-US" w:bidi="ar-SA"/>
      </w:rPr>
    </w:lvl>
    <w:lvl w:ilvl="6" w:tplc="E0E43056">
      <w:numFmt w:val="bullet"/>
      <w:lvlText w:val="•"/>
      <w:lvlJc w:val="left"/>
      <w:pPr>
        <w:ind w:left="4945" w:hanging="579"/>
      </w:pPr>
      <w:rPr>
        <w:rFonts w:hint="default"/>
        <w:lang w:val="en-AU" w:eastAsia="en-US" w:bidi="ar-SA"/>
      </w:rPr>
    </w:lvl>
    <w:lvl w:ilvl="7" w:tplc="BE36CEDE">
      <w:numFmt w:val="bullet"/>
      <w:lvlText w:val="•"/>
      <w:lvlJc w:val="left"/>
      <w:pPr>
        <w:ind w:left="5656" w:hanging="579"/>
      </w:pPr>
      <w:rPr>
        <w:rFonts w:hint="default"/>
        <w:lang w:val="en-AU" w:eastAsia="en-US" w:bidi="ar-SA"/>
      </w:rPr>
    </w:lvl>
    <w:lvl w:ilvl="8" w:tplc="9FEE1DBA">
      <w:numFmt w:val="bullet"/>
      <w:lvlText w:val="•"/>
      <w:lvlJc w:val="left"/>
      <w:pPr>
        <w:ind w:left="6367" w:hanging="579"/>
      </w:pPr>
      <w:rPr>
        <w:rFonts w:hint="default"/>
        <w:lang w:val="en-AU" w:eastAsia="en-US" w:bidi="ar-SA"/>
      </w:rPr>
    </w:lvl>
  </w:abstractNum>
  <w:abstractNum w:abstractNumId="9" w15:restartNumberingAfterBreak="0">
    <w:nsid w:val="124B71BC"/>
    <w:multiLevelType w:val="hybridMultilevel"/>
    <w:tmpl w:val="56EE6FEE"/>
    <w:lvl w:ilvl="0" w:tplc="CAAA6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B1CE8"/>
    <w:multiLevelType w:val="hybridMultilevel"/>
    <w:tmpl w:val="1B282E8A"/>
    <w:lvl w:ilvl="0" w:tplc="1792A6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202422"/>
    <w:multiLevelType w:val="hybridMultilevel"/>
    <w:tmpl w:val="6E44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A3E2D"/>
    <w:multiLevelType w:val="hybridMultilevel"/>
    <w:tmpl w:val="EC7044BA"/>
    <w:lvl w:ilvl="0" w:tplc="E612C74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DC7657B8">
      <w:numFmt w:val="bullet"/>
      <w:lvlText w:val="•"/>
      <w:lvlJc w:val="left"/>
      <w:pPr>
        <w:ind w:left="1390" w:hanging="579"/>
      </w:pPr>
      <w:rPr>
        <w:rFonts w:hint="default"/>
        <w:lang w:val="en-AU" w:eastAsia="en-US" w:bidi="ar-SA"/>
      </w:rPr>
    </w:lvl>
    <w:lvl w:ilvl="2" w:tplc="BBF2A5BC">
      <w:numFmt w:val="bullet"/>
      <w:lvlText w:val="•"/>
      <w:lvlJc w:val="left"/>
      <w:pPr>
        <w:ind w:left="2101" w:hanging="579"/>
      </w:pPr>
      <w:rPr>
        <w:rFonts w:hint="default"/>
        <w:lang w:val="en-AU" w:eastAsia="en-US" w:bidi="ar-SA"/>
      </w:rPr>
    </w:lvl>
    <w:lvl w:ilvl="3" w:tplc="D0E0A29E">
      <w:numFmt w:val="bullet"/>
      <w:lvlText w:val="•"/>
      <w:lvlJc w:val="left"/>
      <w:pPr>
        <w:ind w:left="2812" w:hanging="579"/>
      </w:pPr>
      <w:rPr>
        <w:rFonts w:hint="default"/>
        <w:lang w:val="en-AU" w:eastAsia="en-US" w:bidi="ar-SA"/>
      </w:rPr>
    </w:lvl>
    <w:lvl w:ilvl="4" w:tplc="2DA21694">
      <w:numFmt w:val="bullet"/>
      <w:lvlText w:val="•"/>
      <w:lvlJc w:val="left"/>
      <w:pPr>
        <w:ind w:left="3523" w:hanging="579"/>
      </w:pPr>
      <w:rPr>
        <w:rFonts w:hint="default"/>
        <w:lang w:val="en-AU" w:eastAsia="en-US" w:bidi="ar-SA"/>
      </w:rPr>
    </w:lvl>
    <w:lvl w:ilvl="5" w:tplc="844236CE">
      <w:numFmt w:val="bullet"/>
      <w:lvlText w:val="•"/>
      <w:lvlJc w:val="left"/>
      <w:pPr>
        <w:ind w:left="4234" w:hanging="579"/>
      </w:pPr>
      <w:rPr>
        <w:rFonts w:hint="default"/>
        <w:lang w:val="en-AU" w:eastAsia="en-US" w:bidi="ar-SA"/>
      </w:rPr>
    </w:lvl>
    <w:lvl w:ilvl="6" w:tplc="087E48BA">
      <w:numFmt w:val="bullet"/>
      <w:lvlText w:val="•"/>
      <w:lvlJc w:val="left"/>
      <w:pPr>
        <w:ind w:left="4945" w:hanging="579"/>
      </w:pPr>
      <w:rPr>
        <w:rFonts w:hint="default"/>
        <w:lang w:val="en-AU" w:eastAsia="en-US" w:bidi="ar-SA"/>
      </w:rPr>
    </w:lvl>
    <w:lvl w:ilvl="7" w:tplc="6BA40C36">
      <w:numFmt w:val="bullet"/>
      <w:lvlText w:val="•"/>
      <w:lvlJc w:val="left"/>
      <w:pPr>
        <w:ind w:left="5656" w:hanging="579"/>
      </w:pPr>
      <w:rPr>
        <w:rFonts w:hint="default"/>
        <w:lang w:val="en-AU" w:eastAsia="en-US" w:bidi="ar-SA"/>
      </w:rPr>
    </w:lvl>
    <w:lvl w:ilvl="8" w:tplc="C5E698AE">
      <w:numFmt w:val="bullet"/>
      <w:lvlText w:val="•"/>
      <w:lvlJc w:val="left"/>
      <w:pPr>
        <w:ind w:left="6367" w:hanging="579"/>
      </w:pPr>
      <w:rPr>
        <w:rFonts w:hint="default"/>
        <w:lang w:val="en-AU" w:eastAsia="en-US" w:bidi="ar-SA"/>
      </w:rPr>
    </w:lvl>
  </w:abstractNum>
  <w:abstractNum w:abstractNumId="13" w15:restartNumberingAfterBreak="0">
    <w:nsid w:val="1C180730"/>
    <w:multiLevelType w:val="hybridMultilevel"/>
    <w:tmpl w:val="EB18A9D8"/>
    <w:lvl w:ilvl="0" w:tplc="36167C4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713ED8D2">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6928958A">
      <w:numFmt w:val="bullet"/>
      <w:lvlText w:val="•"/>
      <w:lvlJc w:val="left"/>
      <w:pPr>
        <w:ind w:left="1985" w:hanging="425"/>
      </w:pPr>
      <w:rPr>
        <w:rFonts w:hint="default"/>
        <w:lang w:val="en-AU" w:eastAsia="en-US" w:bidi="ar-SA"/>
      </w:rPr>
    </w:lvl>
    <w:lvl w:ilvl="3" w:tplc="715C6C4A">
      <w:numFmt w:val="bullet"/>
      <w:lvlText w:val="•"/>
      <w:lvlJc w:val="left"/>
      <w:pPr>
        <w:ind w:left="2710" w:hanging="425"/>
      </w:pPr>
      <w:rPr>
        <w:rFonts w:hint="default"/>
        <w:lang w:val="en-AU" w:eastAsia="en-US" w:bidi="ar-SA"/>
      </w:rPr>
    </w:lvl>
    <w:lvl w:ilvl="4" w:tplc="ED580D58">
      <w:numFmt w:val="bullet"/>
      <w:lvlText w:val="•"/>
      <w:lvlJc w:val="left"/>
      <w:pPr>
        <w:ind w:left="3436" w:hanging="425"/>
      </w:pPr>
      <w:rPr>
        <w:rFonts w:hint="default"/>
        <w:lang w:val="en-AU" w:eastAsia="en-US" w:bidi="ar-SA"/>
      </w:rPr>
    </w:lvl>
    <w:lvl w:ilvl="5" w:tplc="510CB398">
      <w:numFmt w:val="bullet"/>
      <w:lvlText w:val="•"/>
      <w:lvlJc w:val="left"/>
      <w:pPr>
        <w:ind w:left="4161" w:hanging="425"/>
      </w:pPr>
      <w:rPr>
        <w:rFonts w:hint="default"/>
        <w:lang w:val="en-AU" w:eastAsia="en-US" w:bidi="ar-SA"/>
      </w:rPr>
    </w:lvl>
    <w:lvl w:ilvl="6" w:tplc="4874D740">
      <w:numFmt w:val="bullet"/>
      <w:lvlText w:val="•"/>
      <w:lvlJc w:val="left"/>
      <w:pPr>
        <w:ind w:left="4887" w:hanging="425"/>
      </w:pPr>
      <w:rPr>
        <w:rFonts w:hint="default"/>
        <w:lang w:val="en-AU" w:eastAsia="en-US" w:bidi="ar-SA"/>
      </w:rPr>
    </w:lvl>
    <w:lvl w:ilvl="7" w:tplc="56D45B5C">
      <w:numFmt w:val="bullet"/>
      <w:lvlText w:val="•"/>
      <w:lvlJc w:val="left"/>
      <w:pPr>
        <w:ind w:left="5612" w:hanging="425"/>
      </w:pPr>
      <w:rPr>
        <w:rFonts w:hint="default"/>
        <w:lang w:val="en-AU" w:eastAsia="en-US" w:bidi="ar-SA"/>
      </w:rPr>
    </w:lvl>
    <w:lvl w:ilvl="8" w:tplc="5E8A45B6">
      <w:numFmt w:val="bullet"/>
      <w:lvlText w:val="•"/>
      <w:lvlJc w:val="left"/>
      <w:pPr>
        <w:ind w:left="6338" w:hanging="425"/>
      </w:pPr>
      <w:rPr>
        <w:rFonts w:hint="default"/>
        <w:lang w:val="en-AU" w:eastAsia="en-US" w:bidi="ar-SA"/>
      </w:rPr>
    </w:lvl>
  </w:abstractNum>
  <w:abstractNum w:abstractNumId="14" w15:restartNumberingAfterBreak="0">
    <w:nsid w:val="1FA07F6B"/>
    <w:multiLevelType w:val="hybridMultilevel"/>
    <w:tmpl w:val="058C375C"/>
    <w:lvl w:ilvl="0" w:tplc="444C760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8EA8479E">
      <w:numFmt w:val="bullet"/>
      <w:lvlText w:val="•"/>
      <w:lvlJc w:val="left"/>
      <w:pPr>
        <w:ind w:left="1390" w:hanging="579"/>
      </w:pPr>
      <w:rPr>
        <w:rFonts w:hint="default"/>
        <w:lang w:val="en-AU" w:eastAsia="en-US" w:bidi="ar-SA"/>
      </w:rPr>
    </w:lvl>
    <w:lvl w:ilvl="2" w:tplc="CDDAC844">
      <w:numFmt w:val="bullet"/>
      <w:lvlText w:val="•"/>
      <w:lvlJc w:val="left"/>
      <w:pPr>
        <w:ind w:left="2101" w:hanging="579"/>
      </w:pPr>
      <w:rPr>
        <w:rFonts w:hint="default"/>
        <w:lang w:val="en-AU" w:eastAsia="en-US" w:bidi="ar-SA"/>
      </w:rPr>
    </w:lvl>
    <w:lvl w:ilvl="3" w:tplc="92BCC560">
      <w:numFmt w:val="bullet"/>
      <w:lvlText w:val="•"/>
      <w:lvlJc w:val="left"/>
      <w:pPr>
        <w:ind w:left="2812" w:hanging="579"/>
      </w:pPr>
      <w:rPr>
        <w:rFonts w:hint="default"/>
        <w:lang w:val="en-AU" w:eastAsia="en-US" w:bidi="ar-SA"/>
      </w:rPr>
    </w:lvl>
    <w:lvl w:ilvl="4" w:tplc="9B628740">
      <w:numFmt w:val="bullet"/>
      <w:lvlText w:val="•"/>
      <w:lvlJc w:val="left"/>
      <w:pPr>
        <w:ind w:left="3523" w:hanging="579"/>
      </w:pPr>
      <w:rPr>
        <w:rFonts w:hint="default"/>
        <w:lang w:val="en-AU" w:eastAsia="en-US" w:bidi="ar-SA"/>
      </w:rPr>
    </w:lvl>
    <w:lvl w:ilvl="5" w:tplc="0EA8AAF8">
      <w:numFmt w:val="bullet"/>
      <w:lvlText w:val="•"/>
      <w:lvlJc w:val="left"/>
      <w:pPr>
        <w:ind w:left="4234" w:hanging="579"/>
      </w:pPr>
      <w:rPr>
        <w:rFonts w:hint="default"/>
        <w:lang w:val="en-AU" w:eastAsia="en-US" w:bidi="ar-SA"/>
      </w:rPr>
    </w:lvl>
    <w:lvl w:ilvl="6" w:tplc="89A044C8">
      <w:numFmt w:val="bullet"/>
      <w:lvlText w:val="•"/>
      <w:lvlJc w:val="left"/>
      <w:pPr>
        <w:ind w:left="4945" w:hanging="579"/>
      </w:pPr>
      <w:rPr>
        <w:rFonts w:hint="default"/>
        <w:lang w:val="en-AU" w:eastAsia="en-US" w:bidi="ar-SA"/>
      </w:rPr>
    </w:lvl>
    <w:lvl w:ilvl="7" w:tplc="FF3A1344">
      <w:numFmt w:val="bullet"/>
      <w:lvlText w:val="•"/>
      <w:lvlJc w:val="left"/>
      <w:pPr>
        <w:ind w:left="5656" w:hanging="579"/>
      </w:pPr>
      <w:rPr>
        <w:rFonts w:hint="default"/>
        <w:lang w:val="en-AU" w:eastAsia="en-US" w:bidi="ar-SA"/>
      </w:rPr>
    </w:lvl>
    <w:lvl w:ilvl="8" w:tplc="877C1D12">
      <w:numFmt w:val="bullet"/>
      <w:lvlText w:val="•"/>
      <w:lvlJc w:val="left"/>
      <w:pPr>
        <w:ind w:left="6367" w:hanging="579"/>
      </w:pPr>
      <w:rPr>
        <w:rFonts w:hint="default"/>
        <w:lang w:val="en-AU" w:eastAsia="en-US" w:bidi="ar-SA"/>
      </w:rPr>
    </w:lvl>
  </w:abstractNum>
  <w:abstractNum w:abstractNumId="15" w15:restartNumberingAfterBreak="0">
    <w:nsid w:val="220B3CF1"/>
    <w:multiLevelType w:val="hybridMultilevel"/>
    <w:tmpl w:val="30AA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8B1F6E"/>
    <w:multiLevelType w:val="hybridMultilevel"/>
    <w:tmpl w:val="D03409C4"/>
    <w:lvl w:ilvl="0" w:tplc="08C85C3C">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FE28EB18">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B9C89E36">
      <w:numFmt w:val="bullet"/>
      <w:lvlText w:val="•"/>
      <w:lvlJc w:val="left"/>
      <w:pPr>
        <w:ind w:left="1985" w:hanging="425"/>
      </w:pPr>
      <w:rPr>
        <w:rFonts w:hint="default"/>
        <w:lang w:val="en-AU" w:eastAsia="en-US" w:bidi="ar-SA"/>
      </w:rPr>
    </w:lvl>
    <w:lvl w:ilvl="3" w:tplc="2DDA8496">
      <w:numFmt w:val="bullet"/>
      <w:lvlText w:val="•"/>
      <w:lvlJc w:val="left"/>
      <w:pPr>
        <w:ind w:left="2710" w:hanging="425"/>
      </w:pPr>
      <w:rPr>
        <w:rFonts w:hint="default"/>
        <w:lang w:val="en-AU" w:eastAsia="en-US" w:bidi="ar-SA"/>
      </w:rPr>
    </w:lvl>
    <w:lvl w:ilvl="4" w:tplc="F796B8CC">
      <w:numFmt w:val="bullet"/>
      <w:lvlText w:val="•"/>
      <w:lvlJc w:val="left"/>
      <w:pPr>
        <w:ind w:left="3436" w:hanging="425"/>
      </w:pPr>
      <w:rPr>
        <w:rFonts w:hint="default"/>
        <w:lang w:val="en-AU" w:eastAsia="en-US" w:bidi="ar-SA"/>
      </w:rPr>
    </w:lvl>
    <w:lvl w:ilvl="5" w:tplc="ED240852">
      <w:numFmt w:val="bullet"/>
      <w:lvlText w:val="•"/>
      <w:lvlJc w:val="left"/>
      <w:pPr>
        <w:ind w:left="4161" w:hanging="425"/>
      </w:pPr>
      <w:rPr>
        <w:rFonts w:hint="default"/>
        <w:lang w:val="en-AU" w:eastAsia="en-US" w:bidi="ar-SA"/>
      </w:rPr>
    </w:lvl>
    <w:lvl w:ilvl="6" w:tplc="A8A65CB4">
      <w:numFmt w:val="bullet"/>
      <w:lvlText w:val="•"/>
      <w:lvlJc w:val="left"/>
      <w:pPr>
        <w:ind w:left="4887" w:hanging="425"/>
      </w:pPr>
      <w:rPr>
        <w:rFonts w:hint="default"/>
        <w:lang w:val="en-AU" w:eastAsia="en-US" w:bidi="ar-SA"/>
      </w:rPr>
    </w:lvl>
    <w:lvl w:ilvl="7" w:tplc="E350F99A">
      <w:numFmt w:val="bullet"/>
      <w:lvlText w:val="•"/>
      <w:lvlJc w:val="left"/>
      <w:pPr>
        <w:ind w:left="5612" w:hanging="425"/>
      </w:pPr>
      <w:rPr>
        <w:rFonts w:hint="default"/>
        <w:lang w:val="en-AU" w:eastAsia="en-US" w:bidi="ar-SA"/>
      </w:rPr>
    </w:lvl>
    <w:lvl w:ilvl="8" w:tplc="0BD43A92">
      <w:numFmt w:val="bullet"/>
      <w:lvlText w:val="•"/>
      <w:lvlJc w:val="left"/>
      <w:pPr>
        <w:ind w:left="6338" w:hanging="425"/>
      </w:pPr>
      <w:rPr>
        <w:rFonts w:hint="default"/>
        <w:lang w:val="en-AU" w:eastAsia="en-US" w:bidi="ar-SA"/>
      </w:rPr>
    </w:lvl>
  </w:abstractNum>
  <w:abstractNum w:abstractNumId="17" w15:restartNumberingAfterBreak="0">
    <w:nsid w:val="26EE4368"/>
    <w:multiLevelType w:val="hybridMultilevel"/>
    <w:tmpl w:val="81AAEC58"/>
    <w:lvl w:ilvl="0" w:tplc="94760CAE">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E64209C8">
      <w:numFmt w:val="bullet"/>
      <w:lvlText w:val="•"/>
      <w:lvlJc w:val="left"/>
      <w:pPr>
        <w:ind w:left="1390" w:hanging="579"/>
      </w:pPr>
      <w:rPr>
        <w:rFonts w:hint="default"/>
        <w:lang w:val="en-AU" w:eastAsia="en-US" w:bidi="ar-SA"/>
      </w:rPr>
    </w:lvl>
    <w:lvl w:ilvl="2" w:tplc="B442F9F2">
      <w:numFmt w:val="bullet"/>
      <w:lvlText w:val="•"/>
      <w:lvlJc w:val="left"/>
      <w:pPr>
        <w:ind w:left="2101" w:hanging="579"/>
      </w:pPr>
      <w:rPr>
        <w:rFonts w:hint="default"/>
        <w:lang w:val="en-AU" w:eastAsia="en-US" w:bidi="ar-SA"/>
      </w:rPr>
    </w:lvl>
    <w:lvl w:ilvl="3" w:tplc="4F9A2FA0">
      <w:numFmt w:val="bullet"/>
      <w:lvlText w:val="•"/>
      <w:lvlJc w:val="left"/>
      <w:pPr>
        <w:ind w:left="2812" w:hanging="579"/>
      </w:pPr>
      <w:rPr>
        <w:rFonts w:hint="default"/>
        <w:lang w:val="en-AU" w:eastAsia="en-US" w:bidi="ar-SA"/>
      </w:rPr>
    </w:lvl>
    <w:lvl w:ilvl="4" w:tplc="8F926E00">
      <w:numFmt w:val="bullet"/>
      <w:lvlText w:val="•"/>
      <w:lvlJc w:val="left"/>
      <w:pPr>
        <w:ind w:left="3523" w:hanging="579"/>
      </w:pPr>
      <w:rPr>
        <w:rFonts w:hint="default"/>
        <w:lang w:val="en-AU" w:eastAsia="en-US" w:bidi="ar-SA"/>
      </w:rPr>
    </w:lvl>
    <w:lvl w:ilvl="5" w:tplc="7DD0326C">
      <w:numFmt w:val="bullet"/>
      <w:lvlText w:val="•"/>
      <w:lvlJc w:val="left"/>
      <w:pPr>
        <w:ind w:left="4234" w:hanging="579"/>
      </w:pPr>
      <w:rPr>
        <w:rFonts w:hint="default"/>
        <w:lang w:val="en-AU" w:eastAsia="en-US" w:bidi="ar-SA"/>
      </w:rPr>
    </w:lvl>
    <w:lvl w:ilvl="6" w:tplc="D9A637EA">
      <w:numFmt w:val="bullet"/>
      <w:lvlText w:val="•"/>
      <w:lvlJc w:val="left"/>
      <w:pPr>
        <w:ind w:left="4945" w:hanging="579"/>
      </w:pPr>
      <w:rPr>
        <w:rFonts w:hint="default"/>
        <w:lang w:val="en-AU" w:eastAsia="en-US" w:bidi="ar-SA"/>
      </w:rPr>
    </w:lvl>
    <w:lvl w:ilvl="7" w:tplc="83420F16">
      <w:numFmt w:val="bullet"/>
      <w:lvlText w:val="•"/>
      <w:lvlJc w:val="left"/>
      <w:pPr>
        <w:ind w:left="5656" w:hanging="579"/>
      </w:pPr>
      <w:rPr>
        <w:rFonts w:hint="default"/>
        <w:lang w:val="en-AU" w:eastAsia="en-US" w:bidi="ar-SA"/>
      </w:rPr>
    </w:lvl>
    <w:lvl w:ilvl="8" w:tplc="28BC0AF8">
      <w:numFmt w:val="bullet"/>
      <w:lvlText w:val="•"/>
      <w:lvlJc w:val="left"/>
      <w:pPr>
        <w:ind w:left="6367" w:hanging="579"/>
      </w:pPr>
      <w:rPr>
        <w:rFonts w:hint="default"/>
        <w:lang w:val="en-AU" w:eastAsia="en-US" w:bidi="ar-SA"/>
      </w:rPr>
    </w:lvl>
  </w:abstractNum>
  <w:abstractNum w:abstractNumId="18" w15:restartNumberingAfterBreak="0">
    <w:nsid w:val="28B27951"/>
    <w:multiLevelType w:val="hybridMultilevel"/>
    <w:tmpl w:val="150828EE"/>
    <w:lvl w:ilvl="0" w:tplc="1E54C72E">
      <w:numFmt w:val="bullet"/>
      <w:lvlText w:val="•"/>
      <w:lvlJc w:val="left"/>
      <w:pPr>
        <w:ind w:left="720" w:hanging="360"/>
      </w:pPr>
      <w:rPr>
        <w:rFonts w:ascii="Gill Sans MT" w:eastAsia="Calibri" w:hAnsi="Gill Sans MT" w:cs="Gill Sans 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C894B77"/>
    <w:multiLevelType w:val="hybridMultilevel"/>
    <w:tmpl w:val="A4946BE2"/>
    <w:lvl w:ilvl="0" w:tplc="23C25520">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FFAE6DCA">
      <w:numFmt w:val="bullet"/>
      <w:lvlText w:val="•"/>
      <w:lvlJc w:val="left"/>
      <w:pPr>
        <w:ind w:left="1390" w:hanging="579"/>
      </w:pPr>
      <w:rPr>
        <w:rFonts w:hint="default"/>
        <w:lang w:val="en-AU" w:eastAsia="en-US" w:bidi="ar-SA"/>
      </w:rPr>
    </w:lvl>
    <w:lvl w:ilvl="2" w:tplc="473C32CA">
      <w:numFmt w:val="bullet"/>
      <w:lvlText w:val="•"/>
      <w:lvlJc w:val="left"/>
      <w:pPr>
        <w:ind w:left="2101" w:hanging="579"/>
      </w:pPr>
      <w:rPr>
        <w:rFonts w:hint="default"/>
        <w:lang w:val="en-AU" w:eastAsia="en-US" w:bidi="ar-SA"/>
      </w:rPr>
    </w:lvl>
    <w:lvl w:ilvl="3" w:tplc="C2A01EF0">
      <w:numFmt w:val="bullet"/>
      <w:lvlText w:val="•"/>
      <w:lvlJc w:val="left"/>
      <w:pPr>
        <w:ind w:left="2812" w:hanging="579"/>
      </w:pPr>
      <w:rPr>
        <w:rFonts w:hint="default"/>
        <w:lang w:val="en-AU" w:eastAsia="en-US" w:bidi="ar-SA"/>
      </w:rPr>
    </w:lvl>
    <w:lvl w:ilvl="4" w:tplc="4EBAB8E6">
      <w:numFmt w:val="bullet"/>
      <w:lvlText w:val="•"/>
      <w:lvlJc w:val="left"/>
      <w:pPr>
        <w:ind w:left="3523" w:hanging="579"/>
      </w:pPr>
      <w:rPr>
        <w:rFonts w:hint="default"/>
        <w:lang w:val="en-AU" w:eastAsia="en-US" w:bidi="ar-SA"/>
      </w:rPr>
    </w:lvl>
    <w:lvl w:ilvl="5" w:tplc="D29C5724">
      <w:numFmt w:val="bullet"/>
      <w:lvlText w:val="•"/>
      <w:lvlJc w:val="left"/>
      <w:pPr>
        <w:ind w:left="4234" w:hanging="579"/>
      </w:pPr>
      <w:rPr>
        <w:rFonts w:hint="default"/>
        <w:lang w:val="en-AU" w:eastAsia="en-US" w:bidi="ar-SA"/>
      </w:rPr>
    </w:lvl>
    <w:lvl w:ilvl="6" w:tplc="8E1C4784">
      <w:numFmt w:val="bullet"/>
      <w:lvlText w:val="•"/>
      <w:lvlJc w:val="left"/>
      <w:pPr>
        <w:ind w:left="4945" w:hanging="579"/>
      </w:pPr>
      <w:rPr>
        <w:rFonts w:hint="default"/>
        <w:lang w:val="en-AU" w:eastAsia="en-US" w:bidi="ar-SA"/>
      </w:rPr>
    </w:lvl>
    <w:lvl w:ilvl="7" w:tplc="0D2CAD64">
      <w:numFmt w:val="bullet"/>
      <w:lvlText w:val="•"/>
      <w:lvlJc w:val="left"/>
      <w:pPr>
        <w:ind w:left="5656" w:hanging="579"/>
      </w:pPr>
      <w:rPr>
        <w:rFonts w:hint="default"/>
        <w:lang w:val="en-AU" w:eastAsia="en-US" w:bidi="ar-SA"/>
      </w:rPr>
    </w:lvl>
    <w:lvl w:ilvl="8" w:tplc="822E8F3A">
      <w:numFmt w:val="bullet"/>
      <w:lvlText w:val="•"/>
      <w:lvlJc w:val="left"/>
      <w:pPr>
        <w:ind w:left="6367" w:hanging="579"/>
      </w:pPr>
      <w:rPr>
        <w:rFonts w:hint="default"/>
        <w:lang w:val="en-AU" w:eastAsia="en-US" w:bidi="ar-SA"/>
      </w:rPr>
    </w:lvl>
  </w:abstractNum>
  <w:abstractNum w:abstractNumId="20" w15:restartNumberingAfterBreak="0">
    <w:nsid w:val="2D9D291D"/>
    <w:multiLevelType w:val="hybridMultilevel"/>
    <w:tmpl w:val="1416E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E56EAC"/>
    <w:multiLevelType w:val="hybridMultilevel"/>
    <w:tmpl w:val="FE5CD906"/>
    <w:lvl w:ilvl="0" w:tplc="7AE410FA">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BB84470C">
      <w:numFmt w:val="bullet"/>
      <w:lvlText w:val="•"/>
      <w:lvlJc w:val="left"/>
      <w:pPr>
        <w:ind w:left="1390" w:hanging="579"/>
      </w:pPr>
      <w:rPr>
        <w:rFonts w:hint="default"/>
        <w:lang w:val="en-AU" w:eastAsia="en-US" w:bidi="ar-SA"/>
      </w:rPr>
    </w:lvl>
    <w:lvl w:ilvl="2" w:tplc="1D2A23AA">
      <w:numFmt w:val="bullet"/>
      <w:lvlText w:val="•"/>
      <w:lvlJc w:val="left"/>
      <w:pPr>
        <w:ind w:left="2101" w:hanging="579"/>
      </w:pPr>
      <w:rPr>
        <w:rFonts w:hint="default"/>
        <w:lang w:val="en-AU" w:eastAsia="en-US" w:bidi="ar-SA"/>
      </w:rPr>
    </w:lvl>
    <w:lvl w:ilvl="3" w:tplc="7EFA9EC2">
      <w:numFmt w:val="bullet"/>
      <w:lvlText w:val="•"/>
      <w:lvlJc w:val="left"/>
      <w:pPr>
        <w:ind w:left="2812" w:hanging="579"/>
      </w:pPr>
      <w:rPr>
        <w:rFonts w:hint="default"/>
        <w:lang w:val="en-AU" w:eastAsia="en-US" w:bidi="ar-SA"/>
      </w:rPr>
    </w:lvl>
    <w:lvl w:ilvl="4" w:tplc="03485C1E">
      <w:numFmt w:val="bullet"/>
      <w:lvlText w:val="•"/>
      <w:lvlJc w:val="left"/>
      <w:pPr>
        <w:ind w:left="3523" w:hanging="579"/>
      </w:pPr>
      <w:rPr>
        <w:rFonts w:hint="default"/>
        <w:lang w:val="en-AU" w:eastAsia="en-US" w:bidi="ar-SA"/>
      </w:rPr>
    </w:lvl>
    <w:lvl w:ilvl="5" w:tplc="7CDEDCF0">
      <w:numFmt w:val="bullet"/>
      <w:lvlText w:val="•"/>
      <w:lvlJc w:val="left"/>
      <w:pPr>
        <w:ind w:left="4234" w:hanging="579"/>
      </w:pPr>
      <w:rPr>
        <w:rFonts w:hint="default"/>
        <w:lang w:val="en-AU" w:eastAsia="en-US" w:bidi="ar-SA"/>
      </w:rPr>
    </w:lvl>
    <w:lvl w:ilvl="6" w:tplc="5BA64BF2">
      <w:numFmt w:val="bullet"/>
      <w:lvlText w:val="•"/>
      <w:lvlJc w:val="left"/>
      <w:pPr>
        <w:ind w:left="4945" w:hanging="579"/>
      </w:pPr>
      <w:rPr>
        <w:rFonts w:hint="default"/>
        <w:lang w:val="en-AU" w:eastAsia="en-US" w:bidi="ar-SA"/>
      </w:rPr>
    </w:lvl>
    <w:lvl w:ilvl="7" w:tplc="E0A6BA66">
      <w:numFmt w:val="bullet"/>
      <w:lvlText w:val="•"/>
      <w:lvlJc w:val="left"/>
      <w:pPr>
        <w:ind w:left="5656" w:hanging="579"/>
      </w:pPr>
      <w:rPr>
        <w:rFonts w:hint="default"/>
        <w:lang w:val="en-AU" w:eastAsia="en-US" w:bidi="ar-SA"/>
      </w:rPr>
    </w:lvl>
    <w:lvl w:ilvl="8" w:tplc="6FD26C82">
      <w:numFmt w:val="bullet"/>
      <w:lvlText w:val="•"/>
      <w:lvlJc w:val="left"/>
      <w:pPr>
        <w:ind w:left="6367" w:hanging="579"/>
      </w:pPr>
      <w:rPr>
        <w:rFonts w:hint="default"/>
        <w:lang w:val="en-AU" w:eastAsia="en-US" w:bidi="ar-SA"/>
      </w:rPr>
    </w:lvl>
  </w:abstractNum>
  <w:abstractNum w:abstractNumId="22" w15:restartNumberingAfterBreak="0">
    <w:nsid w:val="2E1E7F4E"/>
    <w:multiLevelType w:val="hybridMultilevel"/>
    <w:tmpl w:val="61CC2BE4"/>
    <w:lvl w:ilvl="0" w:tplc="240C21C8">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4ECE8656">
      <w:numFmt w:val="bullet"/>
      <w:lvlText w:val="•"/>
      <w:lvlJc w:val="left"/>
      <w:pPr>
        <w:ind w:left="1390" w:hanging="579"/>
      </w:pPr>
      <w:rPr>
        <w:rFonts w:hint="default"/>
        <w:lang w:val="en-AU" w:eastAsia="en-US" w:bidi="ar-SA"/>
      </w:rPr>
    </w:lvl>
    <w:lvl w:ilvl="2" w:tplc="2B92DFC2">
      <w:numFmt w:val="bullet"/>
      <w:lvlText w:val="•"/>
      <w:lvlJc w:val="left"/>
      <w:pPr>
        <w:ind w:left="2101" w:hanging="579"/>
      </w:pPr>
      <w:rPr>
        <w:rFonts w:hint="default"/>
        <w:lang w:val="en-AU" w:eastAsia="en-US" w:bidi="ar-SA"/>
      </w:rPr>
    </w:lvl>
    <w:lvl w:ilvl="3" w:tplc="D26ABEDC">
      <w:numFmt w:val="bullet"/>
      <w:lvlText w:val="•"/>
      <w:lvlJc w:val="left"/>
      <w:pPr>
        <w:ind w:left="2812" w:hanging="579"/>
      </w:pPr>
      <w:rPr>
        <w:rFonts w:hint="default"/>
        <w:lang w:val="en-AU" w:eastAsia="en-US" w:bidi="ar-SA"/>
      </w:rPr>
    </w:lvl>
    <w:lvl w:ilvl="4" w:tplc="90D85580">
      <w:numFmt w:val="bullet"/>
      <w:lvlText w:val="•"/>
      <w:lvlJc w:val="left"/>
      <w:pPr>
        <w:ind w:left="3523" w:hanging="579"/>
      </w:pPr>
      <w:rPr>
        <w:rFonts w:hint="default"/>
        <w:lang w:val="en-AU" w:eastAsia="en-US" w:bidi="ar-SA"/>
      </w:rPr>
    </w:lvl>
    <w:lvl w:ilvl="5" w:tplc="773EE0BC">
      <w:numFmt w:val="bullet"/>
      <w:lvlText w:val="•"/>
      <w:lvlJc w:val="left"/>
      <w:pPr>
        <w:ind w:left="4234" w:hanging="579"/>
      </w:pPr>
      <w:rPr>
        <w:rFonts w:hint="default"/>
        <w:lang w:val="en-AU" w:eastAsia="en-US" w:bidi="ar-SA"/>
      </w:rPr>
    </w:lvl>
    <w:lvl w:ilvl="6" w:tplc="432ED0C8">
      <w:numFmt w:val="bullet"/>
      <w:lvlText w:val="•"/>
      <w:lvlJc w:val="left"/>
      <w:pPr>
        <w:ind w:left="4945" w:hanging="579"/>
      </w:pPr>
      <w:rPr>
        <w:rFonts w:hint="default"/>
        <w:lang w:val="en-AU" w:eastAsia="en-US" w:bidi="ar-SA"/>
      </w:rPr>
    </w:lvl>
    <w:lvl w:ilvl="7" w:tplc="487AE4FE">
      <w:numFmt w:val="bullet"/>
      <w:lvlText w:val="•"/>
      <w:lvlJc w:val="left"/>
      <w:pPr>
        <w:ind w:left="5656" w:hanging="579"/>
      </w:pPr>
      <w:rPr>
        <w:rFonts w:hint="default"/>
        <w:lang w:val="en-AU" w:eastAsia="en-US" w:bidi="ar-SA"/>
      </w:rPr>
    </w:lvl>
    <w:lvl w:ilvl="8" w:tplc="8C4819EE">
      <w:numFmt w:val="bullet"/>
      <w:lvlText w:val="•"/>
      <w:lvlJc w:val="left"/>
      <w:pPr>
        <w:ind w:left="6367" w:hanging="579"/>
      </w:pPr>
      <w:rPr>
        <w:rFonts w:hint="default"/>
        <w:lang w:val="en-AU" w:eastAsia="en-US" w:bidi="ar-SA"/>
      </w:rPr>
    </w:lvl>
  </w:abstractNum>
  <w:abstractNum w:abstractNumId="23" w15:restartNumberingAfterBreak="0">
    <w:nsid w:val="2F115A55"/>
    <w:multiLevelType w:val="hybridMultilevel"/>
    <w:tmpl w:val="58AC2354"/>
    <w:lvl w:ilvl="0" w:tplc="D9809D6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A50661A2">
      <w:numFmt w:val="bullet"/>
      <w:lvlText w:val="•"/>
      <w:lvlJc w:val="left"/>
      <w:pPr>
        <w:ind w:left="1390" w:hanging="579"/>
      </w:pPr>
      <w:rPr>
        <w:rFonts w:hint="default"/>
        <w:lang w:val="en-AU" w:eastAsia="en-US" w:bidi="ar-SA"/>
      </w:rPr>
    </w:lvl>
    <w:lvl w:ilvl="2" w:tplc="ECC8393C">
      <w:numFmt w:val="bullet"/>
      <w:lvlText w:val="•"/>
      <w:lvlJc w:val="left"/>
      <w:pPr>
        <w:ind w:left="2101" w:hanging="579"/>
      </w:pPr>
      <w:rPr>
        <w:rFonts w:hint="default"/>
        <w:lang w:val="en-AU" w:eastAsia="en-US" w:bidi="ar-SA"/>
      </w:rPr>
    </w:lvl>
    <w:lvl w:ilvl="3" w:tplc="241EF1DC">
      <w:numFmt w:val="bullet"/>
      <w:lvlText w:val="•"/>
      <w:lvlJc w:val="left"/>
      <w:pPr>
        <w:ind w:left="2812" w:hanging="579"/>
      </w:pPr>
      <w:rPr>
        <w:rFonts w:hint="default"/>
        <w:lang w:val="en-AU" w:eastAsia="en-US" w:bidi="ar-SA"/>
      </w:rPr>
    </w:lvl>
    <w:lvl w:ilvl="4" w:tplc="398ABAB4">
      <w:numFmt w:val="bullet"/>
      <w:lvlText w:val="•"/>
      <w:lvlJc w:val="left"/>
      <w:pPr>
        <w:ind w:left="3523" w:hanging="579"/>
      </w:pPr>
      <w:rPr>
        <w:rFonts w:hint="default"/>
        <w:lang w:val="en-AU" w:eastAsia="en-US" w:bidi="ar-SA"/>
      </w:rPr>
    </w:lvl>
    <w:lvl w:ilvl="5" w:tplc="02189BAA">
      <w:numFmt w:val="bullet"/>
      <w:lvlText w:val="•"/>
      <w:lvlJc w:val="left"/>
      <w:pPr>
        <w:ind w:left="4234" w:hanging="579"/>
      </w:pPr>
      <w:rPr>
        <w:rFonts w:hint="default"/>
        <w:lang w:val="en-AU" w:eastAsia="en-US" w:bidi="ar-SA"/>
      </w:rPr>
    </w:lvl>
    <w:lvl w:ilvl="6" w:tplc="3CE48298">
      <w:numFmt w:val="bullet"/>
      <w:lvlText w:val="•"/>
      <w:lvlJc w:val="left"/>
      <w:pPr>
        <w:ind w:left="4945" w:hanging="579"/>
      </w:pPr>
      <w:rPr>
        <w:rFonts w:hint="default"/>
        <w:lang w:val="en-AU" w:eastAsia="en-US" w:bidi="ar-SA"/>
      </w:rPr>
    </w:lvl>
    <w:lvl w:ilvl="7" w:tplc="80689CD2">
      <w:numFmt w:val="bullet"/>
      <w:lvlText w:val="•"/>
      <w:lvlJc w:val="left"/>
      <w:pPr>
        <w:ind w:left="5656" w:hanging="579"/>
      </w:pPr>
      <w:rPr>
        <w:rFonts w:hint="default"/>
        <w:lang w:val="en-AU" w:eastAsia="en-US" w:bidi="ar-SA"/>
      </w:rPr>
    </w:lvl>
    <w:lvl w:ilvl="8" w:tplc="9C0C0A78">
      <w:numFmt w:val="bullet"/>
      <w:lvlText w:val="•"/>
      <w:lvlJc w:val="left"/>
      <w:pPr>
        <w:ind w:left="6367" w:hanging="579"/>
      </w:pPr>
      <w:rPr>
        <w:rFonts w:hint="default"/>
        <w:lang w:val="en-AU" w:eastAsia="en-US" w:bidi="ar-SA"/>
      </w:rPr>
    </w:lvl>
  </w:abstractNum>
  <w:abstractNum w:abstractNumId="24" w15:restartNumberingAfterBreak="0">
    <w:nsid w:val="327A3075"/>
    <w:multiLevelType w:val="hybridMultilevel"/>
    <w:tmpl w:val="5376605E"/>
    <w:lvl w:ilvl="0" w:tplc="64EE5DA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869CB600">
      <w:numFmt w:val="bullet"/>
      <w:lvlText w:val="•"/>
      <w:lvlJc w:val="left"/>
      <w:pPr>
        <w:ind w:left="1390" w:hanging="579"/>
      </w:pPr>
      <w:rPr>
        <w:rFonts w:hint="default"/>
        <w:lang w:val="en-AU" w:eastAsia="en-US" w:bidi="ar-SA"/>
      </w:rPr>
    </w:lvl>
    <w:lvl w:ilvl="2" w:tplc="8BFCCF60">
      <w:numFmt w:val="bullet"/>
      <w:lvlText w:val="•"/>
      <w:lvlJc w:val="left"/>
      <w:pPr>
        <w:ind w:left="2101" w:hanging="579"/>
      </w:pPr>
      <w:rPr>
        <w:rFonts w:hint="default"/>
        <w:lang w:val="en-AU" w:eastAsia="en-US" w:bidi="ar-SA"/>
      </w:rPr>
    </w:lvl>
    <w:lvl w:ilvl="3" w:tplc="34E0C6A2">
      <w:numFmt w:val="bullet"/>
      <w:lvlText w:val="•"/>
      <w:lvlJc w:val="left"/>
      <w:pPr>
        <w:ind w:left="2812" w:hanging="579"/>
      </w:pPr>
      <w:rPr>
        <w:rFonts w:hint="default"/>
        <w:lang w:val="en-AU" w:eastAsia="en-US" w:bidi="ar-SA"/>
      </w:rPr>
    </w:lvl>
    <w:lvl w:ilvl="4" w:tplc="E2D6D37A">
      <w:numFmt w:val="bullet"/>
      <w:lvlText w:val="•"/>
      <w:lvlJc w:val="left"/>
      <w:pPr>
        <w:ind w:left="3523" w:hanging="579"/>
      </w:pPr>
      <w:rPr>
        <w:rFonts w:hint="default"/>
        <w:lang w:val="en-AU" w:eastAsia="en-US" w:bidi="ar-SA"/>
      </w:rPr>
    </w:lvl>
    <w:lvl w:ilvl="5" w:tplc="6B1CAC66">
      <w:numFmt w:val="bullet"/>
      <w:lvlText w:val="•"/>
      <w:lvlJc w:val="left"/>
      <w:pPr>
        <w:ind w:left="4234" w:hanging="579"/>
      </w:pPr>
      <w:rPr>
        <w:rFonts w:hint="default"/>
        <w:lang w:val="en-AU" w:eastAsia="en-US" w:bidi="ar-SA"/>
      </w:rPr>
    </w:lvl>
    <w:lvl w:ilvl="6" w:tplc="6B249B92">
      <w:numFmt w:val="bullet"/>
      <w:lvlText w:val="•"/>
      <w:lvlJc w:val="left"/>
      <w:pPr>
        <w:ind w:left="4945" w:hanging="579"/>
      </w:pPr>
      <w:rPr>
        <w:rFonts w:hint="default"/>
        <w:lang w:val="en-AU" w:eastAsia="en-US" w:bidi="ar-SA"/>
      </w:rPr>
    </w:lvl>
    <w:lvl w:ilvl="7" w:tplc="C1CC339C">
      <w:numFmt w:val="bullet"/>
      <w:lvlText w:val="•"/>
      <w:lvlJc w:val="left"/>
      <w:pPr>
        <w:ind w:left="5656" w:hanging="579"/>
      </w:pPr>
      <w:rPr>
        <w:rFonts w:hint="default"/>
        <w:lang w:val="en-AU" w:eastAsia="en-US" w:bidi="ar-SA"/>
      </w:rPr>
    </w:lvl>
    <w:lvl w:ilvl="8" w:tplc="685AB046">
      <w:numFmt w:val="bullet"/>
      <w:lvlText w:val="•"/>
      <w:lvlJc w:val="left"/>
      <w:pPr>
        <w:ind w:left="6367" w:hanging="579"/>
      </w:pPr>
      <w:rPr>
        <w:rFonts w:hint="default"/>
        <w:lang w:val="en-AU" w:eastAsia="en-US" w:bidi="ar-SA"/>
      </w:rPr>
    </w:lvl>
  </w:abstractNum>
  <w:abstractNum w:abstractNumId="25" w15:restartNumberingAfterBreak="0">
    <w:nsid w:val="34D22C51"/>
    <w:multiLevelType w:val="hybridMultilevel"/>
    <w:tmpl w:val="AD3C8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744991"/>
    <w:multiLevelType w:val="hybridMultilevel"/>
    <w:tmpl w:val="F8DC916C"/>
    <w:lvl w:ilvl="0" w:tplc="6ADE5FC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71066116">
      <w:numFmt w:val="bullet"/>
      <w:lvlText w:val="•"/>
      <w:lvlJc w:val="left"/>
      <w:pPr>
        <w:ind w:left="1390" w:hanging="579"/>
      </w:pPr>
      <w:rPr>
        <w:rFonts w:hint="default"/>
        <w:lang w:val="en-AU" w:eastAsia="en-US" w:bidi="ar-SA"/>
      </w:rPr>
    </w:lvl>
    <w:lvl w:ilvl="2" w:tplc="E1F876DA">
      <w:numFmt w:val="bullet"/>
      <w:lvlText w:val="•"/>
      <w:lvlJc w:val="left"/>
      <w:pPr>
        <w:ind w:left="2101" w:hanging="579"/>
      </w:pPr>
      <w:rPr>
        <w:rFonts w:hint="default"/>
        <w:lang w:val="en-AU" w:eastAsia="en-US" w:bidi="ar-SA"/>
      </w:rPr>
    </w:lvl>
    <w:lvl w:ilvl="3" w:tplc="0C3CA1E8">
      <w:numFmt w:val="bullet"/>
      <w:lvlText w:val="•"/>
      <w:lvlJc w:val="left"/>
      <w:pPr>
        <w:ind w:left="2812" w:hanging="579"/>
      </w:pPr>
      <w:rPr>
        <w:rFonts w:hint="default"/>
        <w:lang w:val="en-AU" w:eastAsia="en-US" w:bidi="ar-SA"/>
      </w:rPr>
    </w:lvl>
    <w:lvl w:ilvl="4" w:tplc="F292517E">
      <w:numFmt w:val="bullet"/>
      <w:lvlText w:val="•"/>
      <w:lvlJc w:val="left"/>
      <w:pPr>
        <w:ind w:left="3523" w:hanging="579"/>
      </w:pPr>
      <w:rPr>
        <w:rFonts w:hint="default"/>
        <w:lang w:val="en-AU" w:eastAsia="en-US" w:bidi="ar-SA"/>
      </w:rPr>
    </w:lvl>
    <w:lvl w:ilvl="5" w:tplc="D646D4DC">
      <w:numFmt w:val="bullet"/>
      <w:lvlText w:val="•"/>
      <w:lvlJc w:val="left"/>
      <w:pPr>
        <w:ind w:left="4234" w:hanging="579"/>
      </w:pPr>
      <w:rPr>
        <w:rFonts w:hint="default"/>
        <w:lang w:val="en-AU" w:eastAsia="en-US" w:bidi="ar-SA"/>
      </w:rPr>
    </w:lvl>
    <w:lvl w:ilvl="6" w:tplc="B6FA39A0">
      <w:numFmt w:val="bullet"/>
      <w:lvlText w:val="•"/>
      <w:lvlJc w:val="left"/>
      <w:pPr>
        <w:ind w:left="4945" w:hanging="579"/>
      </w:pPr>
      <w:rPr>
        <w:rFonts w:hint="default"/>
        <w:lang w:val="en-AU" w:eastAsia="en-US" w:bidi="ar-SA"/>
      </w:rPr>
    </w:lvl>
    <w:lvl w:ilvl="7" w:tplc="3C3C4702">
      <w:numFmt w:val="bullet"/>
      <w:lvlText w:val="•"/>
      <w:lvlJc w:val="left"/>
      <w:pPr>
        <w:ind w:left="5656" w:hanging="579"/>
      </w:pPr>
      <w:rPr>
        <w:rFonts w:hint="default"/>
        <w:lang w:val="en-AU" w:eastAsia="en-US" w:bidi="ar-SA"/>
      </w:rPr>
    </w:lvl>
    <w:lvl w:ilvl="8" w:tplc="68EE1192">
      <w:numFmt w:val="bullet"/>
      <w:lvlText w:val="•"/>
      <w:lvlJc w:val="left"/>
      <w:pPr>
        <w:ind w:left="6367" w:hanging="579"/>
      </w:pPr>
      <w:rPr>
        <w:rFonts w:hint="default"/>
        <w:lang w:val="en-AU" w:eastAsia="en-US" w:bidi="ar-SA"/>
      </w:rPr>
    </w:lvl>
  </w:abstractNum>
  <w:abstractNum w:abstractNumId="27" w15:restartNumberingAfterBreak="0">
    <w:nsid w:val="3E0B652D"/>
    <w:multiLevelType w:val="hybridMultilevel"/>
    <w:tmpl w:val="871A5B72"/>
    <w:lvl w:ilvl="0" w:tplc="BB32277E">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950EC03A">
      <w:numFmt w:val="bullet"/>
      <w:lvlText w:val="•"/>
      <w:lvlJc w:val="left"/>
      <w:pPr>
        <w:ind w:left="1390" w:hanging="579"/>
      </w:pPr>
      <w:rPr>
        <w:rFonts w:hint="default"/>
        <w:lang w:val="en-AU" w:eastAsia="en-US" w:bidi="ar-SA"/>
      </w:rPr>
    </w:lvl>
    <w:lvl w:ilvl="2" w:tplc="15D62652">
      <w:numFmt w:val="bullet"/>
      <w:lvlText w:val="•"/>
      <w:lvlJc w:val="left"/>
      <w:pPr>
        <w:ind w:left="2101" w:hanging="579"/>
      </w:pPr>
      <w:rPr>
        <w:rFonts w:hint="default"/>
        <w:lang w:val="en-AU" w:eastAsia="en-US" w:bidi="ar-SA"/>
      </w:rPr>
    </w:lvl>
    <w:lvl w:ilvl="3" w:tplc="7E503F76">
      <w:numFmt w:val="bullet"/>
      <w:lvlText w:val="•"/>
      <w:lvlJc w:val="left"/>
      <w:pPr>
        <w:ind w:left="2812" w:hanging="579"/>
      </w:pPr>
      <w:rPr>
        <w:rFonts w:hint="default"/>
        <w:lang w:val="en-AU" w:eastAsia="en-US" w:bidi="ar-SA"/>
      </w:rPr>
    </w:lvl>
    <w:lvl w:ilvl="4" w:tplc="2310A40E">
      <w:numFmt w:val="bullet"/>
      <w:lvlText w:val="•"/>
      <w:lvlJc w:val="left"/>
      <w:pPr>
        <w:ind w:left="3523" w:hanging="579"/>
      </w:pPr>
      <w:rPr>
        <w:rFonts w:hint="default"/>
        <w:lang w:val="en-AU" w:eastAsia="en-US" w:bidi="ar-SA"/>
      </w:rPr>
    </w:lvl>
    <w:lvl w:ilvl="5" w:tplc="4776F686">
      <w:numFmt w:val="bullet"/>
      <w:lvlText w:val="•"/>
      <w:lvlJc w:val="left"/>
      <w:pPr>
        <w:ind w:left="4234" w:hanging="579"/>
      </w:pPr>
      <w:rPr>
        <w:rFonts w:hint="default"/>
        <w:lang w:val="en-AU" w:eastAsia="en-US" w:bidi="ar-SA"/>
      </w:rPr>
    </w:lvl>
    <w:lvl w:ilvl="6" w:tplc="08BC7008">
      <w:numFmt w:val="bullet"/>
      <w:lvlText w:val="•"/>
      <w:lvlJc w:val="left"/>
      <w:pPr>
        <w:ind w:left="4945" w:hanging="579"/>
      </w:pPr>
      <w:rPr>
        <w:rFonts w:hint="default"/>
        <w:lang w:val="en-AU" w:eastAsia="en-US" w:bidi="ar-SA"/>
      </w:rPr>
    </w:lvl>
    <w:lvl w:ilvl="7" w:tplc="76647B44">
      <w:numFmt w:val="bullet"/>
      <w:lvlText w:val="•"/>
      <w:lvlJc w:val="left"/>
      <w:pPr>
        <w:ind w:left="5656" w:hanging="579"/>
      </w:pPr>
      <w:rPr>
        <w:rFonts w:hint="default"/>
        <w:lang w:val="en-AU" w:eastAsia="en-US" w:bidi="ar-SA"/>
      </w:rPr>
    </w:lvl>
    <w:lvl w:ilvl="8" w:tplc="637AA5B8">
      <w:numFmt w:val="bullet"/>
      <w:lvlText w:val="•"/>
      <w:lvlJc w:val="left"/>
      <w:pPr>
        <w:ind w:left="6367" w:hanging="579"/>
      </w:pPr>
      <w:rPr>
        <w:rFonts w:hint="default"/>
        <w:lang w:val="en-AU" w:eastAsia="en-US" w:bidi="ar-SA"/>
      </w:rPr>
    </w:lvl>
  </w:abstractNum>
  <w:abstractNum w:abstractNumId="28" w15:restartNumberingAfterBreak="0">
    <w:nsid w:val="3EC37AED"/>
    <w:multiLevelType w:val="hybridMultilevel"/>
    <w:tmpl w:val="2CDC68C8"/>
    <w:lvl w:ilvl="0" w:tplc="4776066C">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E0EC40CE">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8690B81E">
      <w:numFmt w:val="bullet"/>
      <w:lvlText w:val="•"/>
      <w:lvlJc w:val="left"/>
      <w:pPr>
        <w:ind w:left="1985" w:hanging="425"/>
      </w:pPr>
      <w:rPr>
        <w:rFonts w:hint="default"/>
        <w:lang w:val="en-AU" w:eastAsia="en-US" w:bidi="ar-SA"/>
      </w:rPr>
    </w:lvl>
    <w:lvl w:ilvl="3" w:tplc="0C28BF8C">
      <w:numFmt w:val="bullet"/>
      <w:lvlText w:val="•"/>
      <w:lvlJc w:val="left"/>
      <w:pPr>
        <w:ind w:left="2710" w:hanging="425"/>
      </w:pPr>
      <w:rPr>
        <w:rFonts w:hint="default"/>
        <w:lang w:val="en-AU" w:eastAsia="en-US" w:bidi="ar-SA"/>
      </w:rPr>
    </w:lvl>
    <w:lvl w:ilvl="4" w:tplc="E142556E">
      <w:numFmt w:val="bullet"/>
      <w:lvlText w:val="•"/>
      <w:lvlJc w:val="left"/>
      <w:pPr>
        <w:ind w:left="3436" w:hanging="425"/>
      </w:pPr>
      <w:rPr>
        <w:rFonts w:hint="default"/>
        <w:lang w:val="en-AU" w:eastAsia="en-US" w:bidi="ar-SA"/>
      </w:rPr>
    </w:lvl>
    <w:lvl w:ilvl="5" w:tplc="F4B421B8">
      <w:numFmt w:val="bullet"/>
      <w:lvlText w:val="•"/>
      <w:lvlJc w:val="left"/>
      <w:pPr>
        <w:ind w:left="4161" w:hanging="425"/>
      </w:pPr>
      <w:rPr>
        <w:rFonts w:hint="default"/>
        <w:lang w:val="en-AU" w:eastAsia="en-US" w:bidi="ar-SA"/>
      </w:rPr>
    </w:lvl>
    <w:lvl w:ilvl="6" w:tplc="E1D6626C">
      <w:numFmt w:val="bullet"/>
      <w:lvlText w:val="•"/>
      <w:lvlJc w:val="left"/>
      <w:pPr>
        <w:ind w:left="4887" w:hanging="425"/>
      </w:pPr>
      <w:rPr>
        <w:rFonts w:hint="default"/>
        <w:lang w:val="en-AU" w:eastAsia="en-US" w:bidi="ar-SA"/>
      </w:rPr>
    </w:lvl>
    <w:lvl w:ilvl="7" w:tplc="5BBCA62C">
      <w:numFmt w:val="bullet"/>
      <w:lvlText w:val="•"/>
      <w:lvlJc w:val="left"/>
      <w:pPr>
        <w:ind w:left="5612" w:hanging="425"/>
      </w:pPr>
      <w:rPr>
        <w:rFonts w:hint="default"/>
        <w:lang w:val="en-AU" w:eastAsia="en-US" w:bidi="ar-SA"/>
      </w:rPr>
    </w:lvl>
    <w:lvl w:ilvl="8" w:tplc="6EDC8604">
      <w:numFmt w:val="bullet"/>
      <w:lvlText w:val="•"/>
      <w:lvlJc w:val="left"/>
      <w:pPr>
        <w:ind w:left="6338" w:hanging="425"/>
      </w:pPr>
      <w:rPr>
        <w:rFonts w:hint="default"/>
        <w:lang w:val="en-AU" w:eastAsia="en-US" w:bidi="ar-SA"/>
      </w:rPr>
    </w:lvl>
  </w:abstractNum>
  <w:abstractNum w:abstractNumId="29" w15:restartNumberingAfterBreak="0">
    <w:nsid w:val="3FCC4056"/>
    <w:multiLevelType w:val="hybridMultilevel"/>
    <w:tmpl w:val="D13A517C"/>
    <w:lvl w:ilvl="0" w:tplc="8D58F3F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1EF61906">
      <w:numFmt w:val="bullet"/>
      <w:lvlText w:val="•"/>
      <w:lvlJc w:val="left"/>
      <w:pPr>
        <w:ind w:left="1390" w:hanging="579"/>
      </w:pPr>
      <w:rPr>
        <w:rFonts w:hint="default"/>
        <w:lang w:val="en-AU" w:eastAsia="en-US" w:bidi="ar-SA"/>
      </w:rPr>
    </w:lvl>
    <w:lvl w:ilvl="2" w:tplc="8290637C">
      <w:numFmt w:val="bullet"/>
      <w:lvlText w:val="•"/>
      <w:lvlJc w:val="left"/>
      <w:pPr>
        <w:ind w:left="2101" w:hanging="579"/>
      </w:pPr>
      <w:rPr>
        <w:rFonts w:hint="default"/>
        <w:lang w:val="en-AU" w:eastAsia="en-US" w:bidi="ar-SA"/>
      </w:rPr>
    </w:lvl>
    <w:lvl w:ilvl="3" w:tplc="EFB471CE">
      <w:numFmt w:val="bullet"/>
      <w:lvlText w:val="•"/>
      <w:lvlJc w:val="left"/>
      <w:pPr>
        <w:ind w:left="2812" w:hanging="579"/>
      </w:pPr>
      <w:rPr>
        <w:rFonts w:hint="default"/>
        <w:lang w:val="en-AU" w:eastAsia="en-US" w:bidi="ar-SA"/>
      </w:rPr>
    </w:lvl>
    <w:lvl w:ilvl="4" w:tplc="6B343EA2">
      <w:numFmt w:val="bullet"/>
      <w:lvlText w:val="•"/>
      <w:lvlJc w:val="left"/>
      <w:pPr>
        <w:ind w:left="3523" w:hanging="579"/>
      </w:pPr>
      <w:rPr>
        <w:rFonts w:hint="default"/>
        <w:lang w:val="en-AU" w:eastAsia="en-US" w:bidi="ar-SA"/>
      </w:rPr>
    </w:lvl>
    <w:lvl w:ilvl="5" w:tplc="44248DA2">
      <w:numFmt w:val="bullet"/>
      <w:lvlText w:val="•"/>
      <w:lvlJc w:val="left"/>
      <w:pPr>
        <w:ind w:left="4234" w:hanging="579"/>
      </w:pPr>
      <w:rPr>
        <w:rFonts w:hint="default"/>
        <w:lang w:val="en-AU" w:eastAsia="en-US" w:bidi="ar-SA"/>
      </w:rPr>
    </w:lvl>
    <w:lvl w:ilvl="6" w:tplc="02E6865E">
      <w:numFmt w:val="bullet"/>
      <w:lvlText w:val="•"/>
      <w:lvlJc w:val="left"/>
      <w:pPr>
        <w:ind w:left="4945" w:hanging="579"/>
      </w:pPr>
      <w:rPr>
        <w:rFonts w:hint="default"/>
        <w:lang w:val="en-AU" w:eastAsia="en-US" w:bidi="ar-SA"/>
      </w:rPr>
    </w:lvl>
    <w:lvl w:ilvl="7" w:tplc="3B00FCD4">
      <w:numFmt w:val="bullet"/>
      <w:lvlText w:val="•"/>
      <w:lvlJc w:val="left"/>
      <w:pPr>
        <w:ind w:left="5656" w:hanging="579"/>
      </w:pPr>
      <w:rPr>
        <w:rFonts w:hint="default"/>
        <w:lang w:val="en-AU" w:eastAsia="en-US" w:bidi="ar-SA"/>
      </w:rPr>
    </w:lvl>
    <w:lvl w:ilvl="8" w:tplc="048CABDA">
      <w:numFmt w:val="bullet"/>
      <w:lvlText w:val="•"/>
      <w:lvlJc w:val="left"/>
      <w:pPr>
        <w:ind w:left="6367" w:hanging="579"/>
      </w:pPr>
      <w:rPr>
        <w:rFonts w:hint="default"/>
        <w:lang w:val="en-AU" w:eastAsia="en-US" w:bidi="ar-SA"/>
      </w:rPr>
    </w:lvl>
  </w:abstractNum>
  <w:abstractNum w:abstractNumId="30" w15:restartNumberingAfterBreak="0">
    <w:nsid w:val="416456E3"/>
    <w:multiLevelType w:val="hybridMultilevel"/>
    <w:tmpl w:val="24AC1D88"/>
    <w:lvl w:ilvl="0" w:tplc="668A4D6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2AAEB8AC">
      <w:numFmt w:val="bullet"/>
      <w:lvlText w:val="•"/>
      <w:lvlJc w:val="left"/>
      <w:pPr>
        <w:ind w:left="1390" w:hanging="579"/>
      </w:pPr>
      <w:rPr>
        <w:rFonts w:hint="default"/>
        <w:lang w:val="en-AU" w:eastAsia="en-US" w:bidi="ar-SA"/>
      </w:rPr>
    </w:lvl>
    <w:lvl w:ilvl="2" w:tplc="3764716C">
      <w:numFmt w:val="bullet"/>
      <w:lvlText w:val="•"/>
      <w:lvlJc w:val="left"/>
      <w:pPr>
        <w:ind w:left="2101" w:hanging="579"/>
      </w:pPr>
      <w:rPr>
        <w:rFonts w:hint="default"/>
        <w:lang w:val="en-AU" w:eastAsia="en-US" w:bidi="ar-SA"/>
      </w:rPr>
    </w:lvl>
    <w:lvl w:ilvl="3" w:tplc="CC209AD2">
      <w:numFmt w:val="bullet"/>
      <w:lvlText w:val="•"/>
      <w:lvlJc w:val="left"/>
      <w:pPr>
        <w:ind w:left="2812" w:hanging="579"/>
      </w:pPr>
      <w:rPr>
        <w:rFonts w:hint="default"/>
        <w:lang w:val="en-AU" w:eastAsia="en-US" w:bidi="ar-SA"/>
      </w:rPr>
    </w:lvl>
    <w:lvl w:ilvl="4" w:tplc="0E729178">
      <w:numFmt w:val="bullet"/>
      <w:lvlText w:val="•"/>
      <w:lvlJc w:val="left"/>
      <w:pPr>
        <w:ind w:left="3523" w:hanging="579"/>
      </w:pPr>
      <w:rPr>
        <w:rFonts w:hint="default"/>
        <w:lang w:val="en-AU" w:eastAsia="en-US" w:bidi="ar-SA"/>
      </w:rPr>
    </w:lvl>
    <w:lvl w:ilvl="5" w:tplc="137CBCF8">
      <w:numFmt w:val="bullet"/>
      <w:lvlText w:val="•"/>
      <w:lvlJc w:val="left"/>
      <w:pPr>
        <w:ind w:left="4234" w:hanging="579"/>
      </w:pPr>
      <w:rPr>
        <w:rFonts w:hint="default"/>
        <w:lang w:val="en-AU" w:eastAsia="en-US" w:bidi="ar-SA"/>
      </w:rPr>
    </w:lvl>
    <w:lvl w:ilvl="6" w:tplc="EB06E09C">
      <w:numFmt w:val="bullet"/>
      <w:lvlText w:val="•"/>
      <w:lvlJc w:val="left"/>
      <w:pPr>
        <w:ind w:left="4945" w:hanging="579"/>
      </w:pPr>
      <w:rPr>
        <w:rFonts w:hint="default"/>
        <w:lang w:val="en-AU" w:eastAsia="en-US" w:bidi="ar-SA"/>
      </w:rPr>
    </w:lvl>
    <w:lvl w:ilvl="7" w:tplc="73BEC42A">
      <w:numFmt w:val="bullet"/>
      <w:lvlText w:val="•"/>
      <w:lvlJc w:val="left"/>
      <w:pPr>
        <w:ind w:left="5656" w:hanging="579"/>
      </w:pPr>
      <w:rPr>
        <w:rFonts w:hint="default"/>
        <w:lang w:val="en-AU" w:eastAsia="en-US" w:bidi="ar-SA"/>
      </w:rPr>
    </w:lvl>
    <w:lvl w:ilvl="8" w:tplc="1BE449F2">
      <w:numFmt w:val="bullet"/>
      <w:lvlText w:val="•"/>
      <w:lvlJc w:val="left"/>
      <w:pPr>
        <w:ind w:left="6367" w:hanging="579"/>
      </w:pPr>
      <w:rPr>
        <w:rFonts w:hint="default"/>
        <w:lang w:val="en-AU" w:eastAsia="en-US" w:bidi="ar-SA"/>
      </w:rPr>
    </w:lvl>
  </w:abstractNum>
  <w:abstractNum w:abstractNumId="31" w15:restartNumberingAfterBreak="0">
    <w:nsid w:val="41FB6DDD"/>
    <w:multiLevelType w:val="hybridMultilevel"/>
    <w:tmpl w:val="5AC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A1587"/>
    <w:multiLevelType w:val="hybridMultilevel"/>
    <w:tmpl w:val="2BDAAB24"/>
    <w:lvl w:ilvl="0" w:tplc="FCC264F0">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B5B45962">
      <w:numFmt w:val="bullet"/>
      <w:lvlText w:val="•"/>
      <w:lvlJc w:val="left"/>
      <w:pPr>
        <w:ind w:left="1390" w:hanging="579"/>
      </w:pPr>
      <w:rPr>
        <w:rFonts w:hint="default"/>
        <w:lang w:val="en-AU" w:eastAsia="en-US" w:bidi="ar-SA"/>
      </w:rPr>
    </w:lvl>
    <w:lvl w:ilvl="2" w:tplc="64F22070">
      <w:numFmt w:val="bullet"/>
      <w:lvlText w:val="•"/>
      <w:lvlJc w:val="left"/>
      <w:pPr>
        <w:ind w:left="2101" w:hanging="579"/>
      </w:pPr>
      <w:rPr>
        <w:rFonts w:hint="default"/>
        <w:lang w:val="en-AU" w:eastAsia="en-US" w:bidi="ar-SA"/>
      </w:rPr>
    </w:lvl>
    <w:lvl w:ilvl="3" w:tplc="EF7C3196">
      <w:numFmt w:val="bullet"/>
      <w:lvlText w:val="•"/>
      <w:lvlJc w:val="left"/>
      <w:pPr>
        <w:ind w:left="2812" w:hanging="579"/>
      </w:pPr>
      <w:rPr>
        <w:rFonts w:hint="default"/>
        <w:lang w:val="en-AU" w:eastAsia="en-US" w:bidi="ar-SA"/>
      </w:rPr>
    </w:lvl>
    <w:lvl w:ilvl="4" w:tplc="C994B912">
      <w:numFmt w:val="bullet"/>
      <w:lvlText w:val="•"/>
      <w:lvlJc w:val="left"/>
      <w:pPr>
        <w:ind w:left="3523" w:hanging="579"/>
      </w:pPr>
      <w:rPr>
        <w:rFonts w:hint="default"/>
        <w:lang w:val="en-AU" w:eastAsia="en-US" w:bidi="ar-SA"/>
      </w:rPr>
    </w:lvl>
    <w:lvl w:ilvl="5" w:tplc="5956ADC8">
      <w:numFmt w:val="bullet"/>
      <w:lvlText w:val="•"/>
      <w:lvlJc w:val="left"/>
      <w:pPr>
        <w:ind w:left="4234" w:hanging="579"/>
      </w:pPr>
      <w:rPr>
        <w:rFonts w:hint="default"/>
        <w:lang w:val="en-AU" w:eastAsia="en-US" w:bidi="ar-SA"/>
      </w:rPr>
    </w:lvl>
    <w:lvl w:ilvl="6" w:tplc="82EC24EC">
      <w:numFmt w:val="bullet"/>
      <w:lvlText w:val="•"/>
      <w:lvlJc w:val="left"/>
      <w:pPr>
        <w:ind w:left="4945" w:hanging="579"/>
      </w:pPr>
      <w:rPr>
        <w:rFonts w:hint="default"/>
        <w:lang w:val="en-AU" w:eastAsia="en-US" w:bidi="ar-SA"/>
      </w:rPr>
    </w:lvl>
    <w:lvl w:ilvl="7" w:tplc="E8164694">
      <w:numFmt w:val="bullet"/>
      <w:lvlText w:val="•"/>
      <w:lvlJc w:val="left"/>
      <w:pPr>
        <w:ind w:left="5656" w:hanging="579"/>
      </w:pPr>
      <w:rPr>
        <w:rFonts w:hint="default"/>
        <w:lang w:val="en-AU" w:eastAsia="en-US" w:bidi="ar-SA"/>
      </w:rPr>
    </w:lvl>
    <w:lvl w:ilvl="8" w:tplc="F674753C">
      <w:numFmt w:val="bullet"/>
      <w:lvlText w:val="•"/>
      <w:lvlJc w:val="left"/>
      <w:pPr>
        <w:ind w:left="6367" w:hanging="579"/>
      </w:pPr>
      <w:rPr>
        <w:rFonts w:hint="default"/>
        <w:lang w:val="en-AU" w:eastAsia="en-US" w:bidi="ar-SA"/>
      </w:rPr>
    </w:lvl>
  </w:abstractNum>
  <w:abstractNum w:abstractNumId="33" w15:restartNumberingAfterBreak="0">
    <w:nsid w:val="4744487E"/>
    <w:multiLevelType w:val="hybridMultilevel"/>
    <w:tmpl w:val="967465C6"/>
    <w:lvl w:ilvl="0" w:tplc="B4B057E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2542DBBA">
      <w:numFmt w:val="bullet"/>
      <w:lvlText w:val="•"/>
      <w:lvlJc w:val="left"/>
      <w:pPr>
        <w:ind w:left="1390" w:hanging="579"/>
      </w:pPr>
      <w:rPr>
        <w:rFonts w:hint="default"/>
        <w:lang w:val="en-AU" w:eastAsia="en-US" w:bidi="ar-SA"/>
      </w:rPr>
    </w:lvl>
    <w:lvl w:ilvl="2" w:tplc="23E45566">
      <w:numFmt w:val="bullet"/>
      <w:lvlText w:val="•"/>
      <w:lvlJc w:val="left"/>
      <w:pPr>
        <w:ind w:left="2101" w:hanging="579"/>
      </w:pPr>
      <w:rPr>
        <w:rFonts w:hint="default"/>
        <w:lang w:val="en-AU" w:eastAsia="en-US" w:bidi="ar-SA"/>
      </w:rPr>
    </w:lvl>
    <w:lvl w:ilvl="3" w:tplc="BFE2DD18">
      <w:numFmt w:val="bullet"/>
      <w:lvlText w:val="•"/>
      <w:lvlJc w:val="left"/>
      <w:pPr>
        <w:ind w:left="2812" w:hanging="579"/>
      </w:pPr>
      <w:rPr>
        <w:rFonts w:hint="default"/>
        <w:lang w:val="en-AU" w:eastAsia="en-US" w:bidi="ar-SA"/>
      </w:rPr>
    </w:lvl>
    <w:lvl w:ilvl="4" w:tplc="7D7A18EA">
      <w:numFmt w:val="bullet"/>
      <w:lvlText w:val="•"/>
      <w:lvlJc w:val="left"/>
      <w:pPr>
        <w:ind w:left="3523" w:hanging="579"/>
      </w:pPr>
      <w:rPr>
        <w:rFonts w:hint="default"/>
        <w:lang w:val="en-AU" w:eastAsia="en-US" w:bidi="ar-SA"/>
      </w:rPr>
    </w:lvl>
    <w:lvl w:ilvl="5" w:tplc="1040C74E">
      <w:numFmt w:val="bullet"/>
      <w:lvlText w:val="•"/>
      <w:lvlJc w:val="left"/>
      <w:pPr>
        <w:ind w:left="4234" w:hanging="579"/>
      </w:pPr>
      <w:rPr>
        <w:rFonts w:hint="default"/>
        <w:lang w:val="en-AU" w:eastAsia="en-US" w:bidi="ar-SA"/>
      </w:rPr>
    </w:lvl>
    <w:lvl w:ilvl="6" w:tplc="7B1C4620">
      <w:numFmt w:val="bullet"/>
      <w:lvlText w:val="•"/>
      <w:lvlJc w:val="left"/>
      <w:pPr>
        <w:ind w:left="4945" w:hanging="579"/>
      </w:pPr>
      <w:rPr>
        <w:rFonts w:hint="default"/>
        <w:lang w:val="en-AU" w:eastAsia="en-US" w:bidi="ar-SA"/>
      </w:rPr>
    </w:lvl>
    <w:lvl w:ilvl="7" w:tplc="8696C2AC">
      <w:numFmt w:val="bullet"/>
      <w:lvlText w:val="•"/>
      <w:lvlJc w:val="left"/>
      <w:pPr>
        <w:ind w:left="5656" w:hanging="579"/>
      </w:pPr>
      <w:rPr>
        <w:rFonts w:hint="default"/>
        <w:lang w:val="en-AU" w:eastAsia="en-US" w:bidi="ar-SA"/>
      </w:rPr>
    </w:lvl>
    <w:lvl w:ilvl="8" w:tplc="FADA1DBC">
      <w:numFmt w:val="bullet"/>
      <w:lvlText w:val="•"/>
      <w:lvlJc w:val="left"/>
      <w:pPr>
        <w:ind w:left="6367" w:hanging="579"/>
      </w:pPr>
      <w:rPr>
        <w:rFonts w:hint="default"/>
        <w:lang w:val="en-AU" w:eastAsia="en-US" w:bidi="ar-SA"/>
      </w:rPr>
    </w:lvl>
  </w:abstractNum>
  <w:abstractNum w:abstractNumId="34" w15:restartNumberingAfterBreak="0">
    <w:nsid w:val="47CC1AAA"/>
    <w:multiLevelType w:val="hybridMultilevel"/>
    <w:tmpl w:val="69647A76"/>
    <w:lvl w:ilvl="0" w:tplc="9B4A04F0">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B428FBC4">
      <w:numFmt w:val="bullet"/>
      <w:lvlText w:val="•"/>
      <w:lvlJc w:val="left"/>
      <w:pPr>
        <w:ind w:left="1390" w:hanging="579"/>
      </w:pPr>
      <w:rPr>
        <w:rFonts w:hint="default"/>
        <w:lang w:val="en-AU" w:eastAsia="en-US" w:bidi="ar-SA"/>
      </w:rPr>
    </w:lvl>
    <w:lvl w:ilvl="2" w:tplc="2C2E6A28">
      <w:numFmt w:val="bullet"/>
      <w:lvlText w:val="•"/>
      <w:lvlJc w:val="left"/>
      <w:pPr>
        <w:ind w:left="2101" w:hanging="579"/>
      </w:pPr>
      <w:rPr>
        <w:rFonts w:hint="default"/>
        <w:lang w:val="en-AU" w:eastAsia="en-US" w:bidi="ar-SA"/>
      </w:rPr>
    </w:lvl>
    <w:lvl w:ilvl="3" w:tplc="DF4618C4">
      <w:numFmt w:val="bullet"/>
      <w:lvlText w:val="•"/>
      <w:lvlJc w:val="left"/>
      <w:pPr>
        <w:ind w:left="2812" w:hanging="579"/>
      </w:pPr>
      <w:rPr>
        <w:rFonts w:hint="default"/>
        <w:lang w:val="en-AU" w:eastAsia="en-US" w:bidi="ar-SA"/>
      </w:rPr>
    </w:lvl>
    <w:lvl w:ilvl="4" w:tplc="9260D464">
      <w:numFmt w:val="bullet"/>
      <w:lvlText w:val="•"/>
      <w:lvlJc w:val="left"/>
      <w:pPr>
        <w:ind w:left="3523" w:hanging="579"/>
      </w:pPr>
      <w:rPr>
        <w:rFonts w:hint="default"/>
        <w:lang w:val="en-AU" w:eastAsia="en-US" w:bidi="ar-SA"/>
      </w:rPr>
    </w:lvl>
    <w:lvl w:ilvl="5" w:tplc="BAE2F9A6">
      <w:numFmt w:val="bullet"/>
      <w:lvlText w:val="•"/>
      <w:lvlJc w:val="left"/>
      <w:pPr>
        <w:ind w:left="4234" w:hanging="579"/>
      </w:pPr>
      <w:rPr>
        <w:rFonts w:hint="default"/>
        <w:lang w:val="en-AU" w:eastAsia="en-US" w:bidi="ar-SA"/>
      </w:rPr>
    </w:lvl>
    <w:lvl w:ilvl="6" w:tplc="0EAC337E">
      <w:numFmt w:val="bullet"/>
      <w:lvlText w:val="•"/>
      <w:lvlJc w:val="left"/>
      <w:pPr>
        <w:ind w:left="4945" w:hanging="579"/>
      </w:pPr>
      <w:rPr>
        <w:rFonts w:hint="default"/>
        <w:lang w:val="en-AU" w:eastAsia="en-US" w:bidi="ar-SA"/>
      </w:rPr>
    </w:lvl>
    <w:lvl w:ilvl="7" w:tplc="E7B6F3C2">
      <w:numFmt w:val="bullet"/>
      <w:lvlText w:val="•"/>
      <w:lvlJc w:val="left"/>
      <w:pPr>
        <w:ind w:left="5656" w:hanging="579"/>
      </w:pPr>
      <w:rPr>
        <w:rFonts w:hint="default"/>
        <w:lang w:val="en-AU" w:eastAsia="en-US" w:bidi="ar-SA"/>
      </w:rPr>
    </w:lvl>
    <w:lvl w:ilvl="8" w:tplc="F8D251B2">
      <w:numFmt w:val="bullet"/>
      <w:lvlText w:val="•"/>
      <w:lvlJc w:val="left"/>
      <w:pPr>
        <w:ind w:left="6367" w:hanging="579"/>
      </w:pPr>
      <w:rPr>
        <w:rFonts w:hint="default"/>
        <w:lang w:val="en-AU" w:eastAsia="en-US" w:bidi="ar-SA"/>
      </w:rPr>
    </w:lvl>
  </w:abstractNum>
  <w:abstractNum w:abstractNumId="35" w15:restartNumberingAfterBreak="0">
    <w:nsid w:val="49B97EEC"/>
    <w:multiLevelType w:val="hybridMultilevel"/>
    <w:tmpl w:val="E37830C4"/>
    <w:lvl w:ilvl="0" w:tplc="2D3CDDC8">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FC90CB14">
      <w:numFmt w:val="bullet"/>
      <w:lvlText w:val="•"/>
      <w:lvlJc w:val="left"/>
      <w:pPr>
        <w:ind w:left="1390" w:hanging="579"/>
      </w:pPr>
      <w:rPr>
        <w:rFonts w:hint="default"/>
        <w:lang w:val="en-AU" w:eastAsia="en-US" w:bidi="ar-SA"/>
      </w:rPr>
    </w:lvl>
    <w:lvl w:ilvl="2" w:tplc="447C9412">
      <w:numFmt w:val="bullet"/>
      <w:lvlText w:val="•"/>
      <w:lvlJc w:val="left"/>
      <w:pPr>
        <w:ind w:left="2101" w:hanging="579"/>
      </w:pPr>
      <w:rPr>
        <w:rFonts w:hint="default"/>
        <w:lang w:val="en-AU" w:eastAsia="en-US" w:bidi="ar-SA"/>
      </w:rPr>
    </w:lvl>
    <w:lvl w:ilvl="3" w:tplc="1126627E">
      <w:numFmt w:val="bullet"/>
      <w:lvlText w:val="•"/>
      <w:lvlJc w:val="left"/>
      <w:pPr>
        <w:ind w:left="2812" w:hanging="579"/>
      </w:pPr>
      <w:rPr>
        <w:rFonts w:hint="default"/>
        <w:lang w:val="en-AU" w:eastAsia="en-US" w:bidi="ar-SA"/>
      </w:rPr>
    </w:lvl>
    <w:lvl w:ilvl="4" w:tplc="F9CE10FA">
      <w:numFmt w:val="bullet"/>
      <w:lvlText w:val="•"/>
      <w:lvlJc w:val="left"/>
      <w:pPr>
        <w:ind w:left="3523" w:hanging="579"/>
      </w:pPr>
      <w:rPr>
        <w:rFonts w:hint="default"/>
        <w:lang w:val="en-AU" w:eastAsia="en-US" w:bidi="ar-SA"/>
      </w:rPr>
    </w:lvl>
    <w:lvl w:ilvl="5" w:tplc="83887BFE">
      <w:numFmt w:val="bullet"/>
      <w:lvlText w:val="•"/>
      <w:lvlJc w:val="left"/>
      <w:pPr>
        <w:ind w:left="4234" w:hanging="579"/>
      </w:pPr>
      <w:rPr>
        <w:rFonts w:hint="default"/>
        <w:lang w:val="en-AU" w:eastAsia="en-US" w:bidi="ar-SA"/>
      </w:rPr>
    </w:lvl>
    <w:lvl w:ilvl="6" w:tplc="4FB8DE70">
      <w:numFmt w:val="bullet"/>
      <w:lvlText w:val="•"/>
      <w:lvlJc w:val="left"/>
      <w:pPr>
        <w:ind w:left="4945" w:hanging="579"/>
      </w:pPr>
      <w:rPr>
        <w:rFonts w:hint="default"/>
        <w:lang w:val="en-AU" w:eastAsia="en-US" w:bidi="ar-SA"/>
      </w:rPr>
    </w:lvl>
    <w:lvl w:ilvl="7" w:tplc="03B6CB2E">
      <w:numFmt w:val="bullet"/>
      <w:lvlText w:val="•"/>
      <w:lvlJc w:val="left"/>
      <w:pPr>
        <w:ind w:left="5656" w:hanging="579"/>
      </w:pPr>
      <w:rPr>
        <w:rFonts w:hint="default"/>
        <w:lang w:val="en-AU" w:eastAsia="en-US" w:bidi="ar-SA"/>
      </w:rPr>
    </w:lvl>
    <w:lvl w:ilvl="8" w:tplc="4DBCB780">
      <w:numFmt w:val="bullet"/>
      <w:lvlText w:val="•"/>
      <w:lvlJc w:val="left"/>
      <w:pPr>
        <w:ind w:left="6367" w:hanging="579"/>
      </w:pPr>
      <w:rPr>
        <w:rFonts w:hint="default"/>
        <w:lang w:val="en-AU" w:eastAsia="en-US" w:bidi="ar-SA"/>
      </w:rPr>
    </w:lvl>
  </w:abstractNum>
  <w:abstractNum w:abstractNumId="36" w15:restartNumberingAfterBreak="0">
    <w:nsid w:val="4ADF03E8"/>
    <w:multiLevelType w:val="hybridMultilevel"/>
    <w:tmpl w:val="187C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C46421"/>
    <w:multiLevelType w:val="hybridMultilevel"/>
    <w:tmpl w:val="7C6CA6F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BC46B1D"/>
    <w:multiLevelType w:val="hybridMultilevel"/>
    <w:tmpl w:val="1B7EF7E6"/>
    <w:lvl w:ilvl="0" w:tplc="B7C0E176">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0A941EFE">
      <w:numFmt w:val="bullet"/>
      <w:lvlText w:val="•"/>
      <w:lvlJc w:val="left"/>
      <w:pPr>
        <w:ind w:left="1390" w:hanging="579"/>
      </w:pPr>
      <w:rPr>
        <w:rFonts w:hint="default"/>
        <w:lang w:val="en-AU" w:eastAsia="en-US" w:bidi="ar-SA"/>
      </w:rPr>
    </w:lvl>
    <w:lvl w:ilvl="2" w:tplc="5A169690">
      <w:numFmt w:val="bullet"/>
      <w:lvlText w:val="•"/>
      <w:lvlJc w:val="left"/>
      <w:pPr>
        <w:ind w:left="2101" w:hanging="579"/>
      </w:pPr>
      <w:rPr>
        <w:rFonts w:hint="default"/>
        <w:lang w:val="en-AU" w:eastAsia="en-US" w:bidi="ar-SA"/>
      </w:rPr>
    </w:lvl>
    <w:lvl w:ilvl="3" w:tplc="7FF69018">
      <w:numFmt w:val="bullet"/>
      <w:lvlText w:val="•"/>
      <w:lvlJc w:val="left"/>
      <w:pPr>
        <w:ind w:left="2812" w:hanging="579"/>
      </w:pPr>
      <w:rPr>
        <w:rFonts w:hint="default"/>
        <w:lang w:val="en-AU" w:eastAsia="en-US" w:bidi="ar-SA"/>
      </w:rPr>
    </w:lvl>
    <w:lvl w:ilvl="4" w:tplc="504CED56">
      <w:numFmt w:val="bullet"/>
      <w:lvlText w:val="•"/>
      <w:lvlJc w:val="left"/>
      <w:pPr>
        <w:ind w:left="3523" w:hanging="579"/>
      </w:pPr>
      <w:rPr>
        <w:rFonts w:hint="default"/>
        <w:lang w:val="en-AU" w:eastAsia="en-US" w:bidi="ar-SA"/>
      </w:rPr>
    </w:lvl>
    <w:lvl w:ilvl="5" w:tplc="7E261C8A">
      <w:numFmt w:val="bullet"/>
      <w:lvlText w:val="•"/>
      <w:lvlJc w:val="left"/>
      <w:pPr>
        <w:ind w:left="4234" w:hanging="579"/>
      </w:pPr>
      <w:rPr>
        <w:rFonts w:hint="default"/>
        <w:lang w:val="en-AU" w:eastAsia="en-US" w:bidi="ar-SA"/>
      </w:rPr>
    </w:lvl>
    <w:lvl w:ilvl="6" w:tplc="1D0258FC">
      <w:numFmt w:val="bullet"/>
      <w:lvlText w:val="•"/>
      <w:lvlJc w:val="left"/>
      <w:pPr>
        <w:ind w:left="4945" w:hanging="579"/>
      </w:pPr>
      <w:rPr>
        <w:rFonts w:hint="default"/>
        <w:lang w:val="en-AU" w:eastAsia="en-US" w:bidi="ar-SA"/>
      </w:rPr>
    </w:lvl>
    <w:lvl w:ilvl="7" w:tplc="3E5848BA">
      <w:numFmt w:val="bullet"/>
      <w:lvlText w:val="•"/>
      <w:lvlJc w:val="left"/>
      <w:pPr>
        <w:ind w:left="5656" w:hanging="579"/>
      </w:pPr>
      <w:rPr>
        <w:rFonts w:hint="default"/>
        <w:lang w:val="en-AU" w:eastAsia="en-US" w:bidi="ar-SA"/>
      </w:rPr>
    </w:lvl>
    <w:lvl w:ilvl="8" w:tplc="554236BE">
      <w:numFmt w:val="bullet"/>
      <w:lvlText w:val="•"/>
      <w:lvlJc w:val="left"/>
      <w:pPr>
        <w:ind w:left="6367" w:hanging="579"/>
      </w:pPr>
      <w:rPr>
        <w:rFonts w:hint="default"/>
        <w:lang w:val="en-AU" w:eastAsia="en-US" w:bidi="ar-SA"/>
      </w:rPr>
    </w:lvl>
  </w:abstractNum>
  <w:abstractNum w:abstractNumId="39" w15:restartNumberingAfterBreak="0">
    <w:nsid w:val="4BD56CA3"/>
    <w:multiLevelType w:val="hybridMultilevel"/>
    <w:tmpl w:val="0C88031E"/>
    <w:lvl w:ilvl="0" w:tplc="E678312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693A68BC">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8A127D2E">
      <w:numFmt w:val="bullet"/>
      <w:lvlText w:val="•"/>
      <w:lvlJc w:val="left"/>
      <w:pPr>
        <w:ind w:left="1985" w:hanging="425"/>
      </w:pPr>
      <w:rPr>
        <w:rFonts w:hint="default"/>
        <w:lang w:val="en-AU" w:eastAsia="en-US" w:bidi="ar-SA"/>
      </w:rPr>
    </w:lvl>
    <w:lvl w:ilvl="3" w:tplc="E384C31E">
      <w:numFmt w:val="bullet"/>
      <w:lvlText w:val="•"/>
      <w:lvlJc w:val="left"/>
      <w:pPr>
        <w:ind w:left="2710" w:hanging="425"/>
      </w:pPr>
      <w:rPr>
        <w:rFonts w:hint="default"/>
        <w:lang w:val="en-AU" w:eastAsia="en-US" w:bidi="ar-SA"/>
      </w:rPr>
    </w:lvl>
    <w:lvl w:ilvl="4" w:tplc="D22099A4">
      <w:numFmt w:val="bullet"/>
      <w:lvlText w:val="•"/>
      <w:lvlJc w:val="left"/>
      <w:pPr>
        <w:ind w:left="3436" w:hanging="425"/>
      </w:pPr>
      <w:rPr>
        <w:rFonts w:hint="default"/>
        <w:lang w:val="en-AU" w:eastAsia="en-US" w:bidi="ar-SA"/>
      </w:rPr>
    </w:lvl>
    <w:lvl w:ilvl="5" w:tplc="C4687A7A">
      <w:numFmt w:val="bullet"/>
      <w:lvlText w:val="•"/>
      <w:lvlJc w:val="left"/>
      <w:pPr>
        <w:ind w:left="4161" w:hanging="425"/>
      </w:pPr>
      <w:rPr>
        <w:rFonts w:hint="default"/>
        <w:lang w:val="en-AU" w:eastAsia="en-US" w:bidi="ar-SA"/>
      </w:rPr>
    </w:lvl>
    <w:lvl w:ilvl="6" w:tplc="3D5A394E">
      <w:numFmt w:val="bullet"/>
      <w:lvlText w:val="•"/>
      <w:lvlJc w:val="left"/>
      <w:pPr>
        <w:ind w:left="4887" w:hanging="425"/>
      </w:pPr>
      <w:rPr>
        <w:rFonts w:hint="default"/>
        <w:lang w:val="en-AU" w:eastAsia="en-US" w:bidi="ar-SA"/>
      </w:rPr>
    </w:lvl>
    <w:lvl w:ilvl="7" w:tplc="BE765EF6">
      <w:numFmt w:val="bullet"/>
      <w:lvlText w:val="•"/>
      <w:lvlJc w:val="left"/>
      <w:pPr>
        <w:ind w:left="5612" w:hanging="425"/>
      </w:pPr>
      <w:rPr>
        <w:rFonts w:hint="default"/>
        <w:lang w:val="en-AU" w:eastAsia="en-US" w:bidi="ar-SA"/>
      </w:rPr>
    </w:lvl>
    <w:lvl w:ilvl="8" w:tplc="68C48922">
      <w:numFmt w:val="bullet"/>
      <w:lvlText w:val="•"/>
      <w:lvlJc w:val="left"/>
      <w:pPr>
        <w:ind w:left="6338" w:hanging="425"/>
      </w:pPr>
      <w:rPr>
        <w:rFonts w:hint="default"/>
        <w:lang w:val="en-AU" w:eastAsia="en-US" w:bidi="ar-SA"/>
      </w:rPr>
    </w:lvl>
  </w:abstractNum>
  <w:abstractNum w:abstractNumId="40" w15:restartNumberingAfterBreak="0">
    <w:nsid w:val="4D1742DE"/>
    <w:multiLevelType w:val="hybridMultilevel"/>
    <w:tmpl w:val="1CBA7E1E"/>
    <w:lvl w:ilvl="0" w:tplc="A210BF6E">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56D8FA3C">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764827A2">
      <w:numFmt w:val="bullet"/>
      <w:lvlText w:val="•"/>
      <w:lvlJc w:val="left"/>
      <w:pPr>
        <w:ind w:left="1985" w:hanging="425"/>
      </w:pPr>
      <w:rPr>
        <w:rFonts w:hint="default"/>
        <w:lang w:val="en-AU" w:eastAsia="en-US" w:bidi="ar-SA"/>
      </w:rPr>
    </w:lvl>
    <w:lvl w:ilvl="3" w:tplc="EC946E32">
      <w:numFmt w:val="bullet"/>
      <w:lvlText w:val="•"/>
      <w:lvlJc w:val="left"/>
      <w:pPr>
        <w:ind w:left="2710" w:hanging="425"/>
      </w:pPr>
      <w:rPr>
        <w:rFonts w:hint="default"/>
        <w:lang w:val="en-AU" w:eastAsia="en-US" w:bidi="ar-SA"/>
      </w:rPr>
    </w:lvl>
    <w:lvl w:ilvl="4" w:tplc="EA28B120">
      <w:numFmt w:val="bullet"/>
      <w:lvlText w:val="•"/>
      <w:lvlJc w:val="left"/>
      <w:pPr>
        <w:ind w:left="3436" w:hanging="425"/>
      </w:pPr>
      <w:rPr>
        <w:rFonts w:hint="default"/>
        <w:lang w:val="en-AU" w:eastAsia="en-US" w:bidi="ar-SA"/>
      </w:rPr>
    </w:lvl>
    <w:lvl w:ilvl="5" w:tplc="BB78A01E">
      <w:numFmt w:val="bullet"/>
      <w:lvlText w:val="•"/>
      <w:lvlJc w:val="left"/>
      <w:pPr>
        <w:ind w:left="4161" w:hanging="425"/>
      </w:pPr>
      <w:rPr>
        <w:rFonts w:hint="default"/>
        <w:lang w:val="en-AU" w:eastAsia="en-US" w:bidi="ar-SA"/>
      </w:rPr>
    </w:lvl>
    <w:lvl w:ilvl="6" w:tplc="2ABCE3BA">
      <w:numFmt w:val="bullet"/>
      <w:lvlText w:val="•"/>
      <w:lvlJc w:val="left"/>
      <w:pPr>
        <w:ind w:left="4887" w:hanging="425"/>
      </w:pPr>
      <w:rPr>
        <w:rFonts w:hint="default"/>
        <w:lang w:val="en-AU" w:eastAsia="en-US" w:bidi="ar-SA"/>
      </w:rPr>
    </w:lvl>
    <w:lvl w:ilvl="7" w:tplc="F56E1022">
      <w:numFmt w:val="bullet"/>
      <w:lvlText w:val="•"/>
      <w:lvlJc w:val="left"/>
      <w:pPr>
        <w:ind w:left="5612" w:hanging="425"/>
      </w:pPr>
      <w:rPr>
        <w:rFonts w:hint="default"/>
        <w:lang w:val="en-AU" w:eastAsia="en-US" w:bidi="ar-SA"/>
      </w:rPr>
    </w:lvl>
    <w:lvl w:ilvl="8" w:tplc="502E87D0">
      <w:numFmt w:val="bullet"/>
      <w:lvlText w:val="•"/>
      <w:lvlJc w:val="left"/>
      <w:pPr>
        <w:ind w:left="6338" w:hanging="425"/>
      </w:pPr>
      <w:rPr>
        <w:rFonts w:hint="default"/>
        <w:lang w:val="en-AU" w:eastAsia="en-US" w:bidi="ar-SA"/>
      </w:rPr>
    </w:lvl>
  </w:abstractNum>
  <w:abstractNum w:abstractNumId="41" w15:restartNumberingAfterBreak="0">
    <w:nsid w:val="4F314933"/>
    <w:multiLevelType w:val="hybridMultilevel"/>
    <w:tmpl w:val="E7AC3A70"/>
    <w:lvl w:ilvl="0" w:tplc="566CDC2E">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7CC89A0C">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296A33D4">
      <w:numFmt w:val="bullet"/>
      <w:lvlText w:val="•"/>
      <w:lvlJc w:val="left"/>
      <w:pPr>
        <w:ind w:left="1985" w:hanging="425"/>
      </w:pPr>
      <w:rPr>
        <w:rFonts w:hint="default"/>
        <w:lang w:val="en-AU" w:eastAsia="en-US" w:bidi="ar-SA"/>
      </w:rPr>
    </w:lvl>
    <w:lvl w:ilvl="3" w:tplc="A650EBE0">
      <w:numFmt w:val="bullet"/>
      <w:lvlText w:val="•"/>
      <w:lvlJc w:val="left"/>
      <w:pPr>
        <w:ind w:left="2710" w:hanging="425"/>
      </w:pPr>
      <w:rPr>
        <w:rFonts w:hint="default"/>
        <w:lang w:val="en-AU" w:eastAsia="en-US" w:bidi="ar-SA"/>
      </w:rPr>
    </w:lvl>
    <w:lvl w:ilvl="4" w:tplc="8A485B9C">
      <w:numFmt w:val="bullet"/>
      <w:lvlText w:val="•"/>
      <w:lvlJc w:val="left"/>
      <w:pPr>
        <w:ind w:left="3436" w:hanging="425"/>
      </w:pPr>
      <w:rPr>
        <w:rFonts w:hint="default"/>
        <w:lang w:val="en-AU" w:eastAsia="en-US" w:bidi="ar-SA"/>
      </w:rPr>
    </w:lvl>
    <w:lvl w:ilvl="5" w:tplc="FABA67CA">
      <w:numFmt w:val="bullet"/>
      <w:lvlText w:val="•"/>
      <w:lvlJc w:val="left"/>
      <w:pPr>
        <w:ind w:left="4161" w:hanging="425"/>
      </w:pPr>
      <w:rPr>
        <w:rFonts w:hint="default"/>
        <w:lang w:val="en-AU" w:eastAsia="en-US" w:bidi="ar-SA"/>
      </w:rPr>
    </w:lvl>
    <w:lvl w:ilvl="6" w:tplc="508ED12E">
      <w:numFmt w:val="bullet"/>
      <w:lvlText w:val="•"/>
      <w:lvlJc w:val="left"/>
      <w:pPr>
        <w:ind w:left="4887" w:hanging="425"/>
      </w:pPr>
      <w:rPr>
        <w:rFonts w:hint="default"/>
        <w:lang w:val="en-AU" w:eastAsia="en-US" w:bidi="ar-SA"/>
      </w:rPr>
    </w:lvl>
    <w:lvl w:ilvl="7" w:tplc="55003418">
      <w:numFmt w:val="bullet"/>
      <w:lvlText w:val="•"/>
      <w:lvlJc w:val="left"/>
      <w:pPr>
        <w:ind w:left="5612" w:hanging="425"/>
      </w:pPr>
      <w:rPr>
        <w:rFonts w:hint="default"/>
        <w:lang w:val="en-AU" w:eastAsia="en-US" w:bidi="ar-SA"/>
      </w:rPr>
    </w:lvl>
    <w:lvl w:ilvl="8" w:tplc="E2E8867E">
      <w:numFmt w:val="bullet"/>
      <w:lvlText w:val="•"/>
      <w:lvlJc w:val="left"/>
      <w:pPr>
        <w:ind w:left="6338" w:hanging="425"/>
      </w:pPr>
      <w:rPr>
        <w:rFonts w:hint="default"/>
        <w:lang w:val="en-AU" w:eastAsia="en-US" w:bidi="ar-SA"/>
      </w:rPr>
    </w:lvl>
  </w:abstractNum>
  <w:abstractNum w:abstractNumId="42" w15:restartNumberingAfterBreak="0">
    <w:nsid w:val="50824518"/>
    <w:multiLevelType w:val="hybridMultilevel"/>
    <w:tmpl w:val="F0D81DB4"/>
    <w:lvl w:ilvl="0" w:tplc="EA184CD8">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7BA4BBBA">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52947A14">
      <w:numFmt w:val="bullet"/>
      <w:lvlText w:val="•"/>
      <w:lvlJc w:val="left"/>
      <w:pPr>
        <w:ind w:left="1985" w:hanging="425"/>
      </w:pPr>
      <w:rPr>
        <w:rFonts w:hint="default"/>
        <w:lang w:val="en-AU" w:eastAsia="en-US" w:bidi="ar-SA"/>
      </w:rPr>
    </w:lvl>
    <w:lvl w:ilvl="3" w:tplc="D5DA9998">
      <w:numFmt w:val="bullet"/>
      <w:lvlText w:val="•"/>
      <w:lvlJc w:val="left"/>
      <w:pPr>
        <w:ind w:left="2710" w:hanging="425"/>
      </w:pPr>
      <w:rPr>
        <w:rFonts w:hint="default"/>
        <w:lang w:val="en-AU" w:eastAsia="en-US" w:bidi="ar-SA"/>
      </w:rPr>
    </w:lvl>
    <w:lvl w:ilvl="4" w:tplc="CFB26914">
      <w:numFmt w:val="bullet"/>
      <w:lvlText w:val="•"/>
      <w:lvlJc w:val="left"/>
      <w:pPr>
        <w:ind w:left="3436" w:hanging="425"/>
      </w:pPr>
      <w:rPr>
        <w:rFonts w:hint="default"/>
        <w:lang w:val="en-AU" w:eastAsia="en-US" w:bidi="ar-SA"/>
      </w:rPr>
    </w:lvl>
    <w:lvl w:ilvl="5" w:tplc="BF965C3A">
      <w:numFmt w:val="bullet"/>
      <w:lvlText w:val="•"/>
      <w:lvlJc w:val="left"/>
      <w:pPr>
        <w:ind w:left="4161" w:hanging="425"/>
      </w:pPr>
      <w:rPr>
        <w:rFonts w:hint="default"/>
        <w:lang w:val="en-AU" w:eastAsia="en-US" w:bidi="ar-SA"/>
      </w:rPr>
    </w:lvl>
    <w:lvl w:ilvl="6" w:tplc="8B72223C">
      <w:numFmt w:val="bullet"/>
      <w:lvlText w:val="•"/>
      <w:lvlJc w:val="left"/>
      <w:pPr>
        <w:ind w:left="4887" w:hanging="425"/>
      </w:pPr>
      <w:rPr>
        <w:rFonts w:hint="default"/>
        <w:lang w:val="en-AU" w:eastAsia="en-US" w:bidi="ar-SA"/>
      </w:rPr>
    </w:lvl>
    <w:lvl w:ilvl="7" w:tplc="CAE8A0A8">
      <w:numFmt w:val="bullet"/>
      <w:lvlText w:val="•"/>
      <w:lvlJc w:val="left"/>
      <w:pPr>
        <w:ind w:left="5612" w:hanging="425"/>
      </w:pPr>
      <w:rPr>
        <w:rFonts w:hint="default"/>
        <w:lang w:val="en-AU" w:eastAsia="en-US" w:bidi="ar-SA"/>
      </w:rPr>
    </w:lvl>
    <w:lvl w:ilvl="8" w:tplc="D21C1142">
      <w:numFmt w:val="bullet"/>
      <w:lvlText w:val="•"/>
      <w:lvlJc w:val="left"/>
      <w:pPr>
        <w:ind w:left="6338" w:hanging="425"/>
      </w:pPr>
      <w:rPr>
        <w:rFonts w:hint="default"/>
        <w:lang w:val="en-AU" w:eastAsia="en-US" w:bidi="ar-SA"/>
      </w:rPr>
    </w:lvl>
  </w:abstractNum>
  <w:abstractNum w:abstractNumId="43" w15:restartNumberingAfterBreak="0">
    <w:nsid w:val="513107BE"/>
    <w:multiLevelType w:val="hybridMultilevel"/>
    <w:tmpl w:val="8F589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5C7841"/>
    <w:multiLevelType w:val="hybridMultilevel"/>
    <w:tmpl w:val="40542330"/>
    <w:lvl w:ilvl="0" w:tplc="750A97E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7BC266C0">
      <w:numFmt w:val="bullet"/>
      <w:lvlText w:val="•"/>
      <w:lvlJc w:val="left"/>
      <w:pPr>
        <w:ind w:left="1390" w:hanging="579"/>
      </w:pPr>
      <w:rPr>
        <w:rFonts w:hint="default"/>
        <w:lang w:val="en-AU" w:eastAsia="en-US" w:bidi="ar-SA"/>
      </w:rPr>
    </w:lvl>
    <w:lvl w:ilvl="2" w:tplc="5EA20616">
      <w:numFmt w:val="bullet"/>
      <w:lvlText w:val="•"/>
      <w:lvlJc w:val="left"/>
      <w:pPr>
        <w:ind w:left="2101" w:hanging="579"/>
      </w:pPr>
      <w:rPr>
        <w:rFonts w:hint="default"/>
        <w:lang w:val="en-AU" w:eastAsia="en-US" w:bidi="ar-SA"/>
      </w:rPr>
    </w:lvl>
    <w:lvl w:ilvl="3" w:tplc="FD4E66AA">
      <w:numFmt w:val="bullet"/>
      <w:lvlText w:val="•"/>
      <w:lvlJc w:val="left"/>
      <w:pPr>
        <w:ind w:left="2812" w:hanging="579"/>
      </w:pPr>
      <w:rPr>
        <w:rFonts w:hint="default"/>
        <w:lang w:val="en-AU" w:eastAsia="en-US" w:bidi="ar-SA"/>
      </w:rPr>
    </w:lvl>
    <w:lvl w:ilvl="4" w:tplc="104470EC">
      <w:numFmt w:val="bullet"/>
      <w:lvlText w:val="•"/>
      <w:lvlJc w:val="left"/>
      <w:pPr>
        <w:ind w:left="3523" w:hanging="579"/>
      </w:pPr>
      <w:rPr>
        <w:rFonts w:hint="default"/>
        <w:lang w:val="en-AU" w:eastAsia="en-US" w:bidi="ar-SA"/>
      </w:rPr>
    </w:lvl>
    <w:lvl w:ilvl="5" w:tplc="7DE63D34">
      <w:numFmt w:val="bullet"/>
      <w:lvlText w:val="•"/>
      <w:lvlJc w:val="left"/>
      <w:pPr>
        <w:ind w:left="4234" w:hanging="579"/>
      </w:pPr>
      <w:rPr>
        <w:rFonts w:hint="default"/>
        <w:lang w:val="en-AU" w:eastAsia="en-US" w:bidi="ar-SA"/>
      </w:rPr>
    </w:lvl>
    <w:lvl w:ilvl="6" w:tplc="8218647E">
      <w:numFmt w:val="bullet"/>
      <w:lvlText w:val="•"/>
      <w:lvlJc w:val="left"/>
      <w:pPr>
        <w:ind w:left="4945" w:hanging="579"/>
      </w:pPr>
      <w:rPr>
        <w:rFonts w:hint="default"/>
        <w:lang w:val="en-AU" w:eastAsia="en-US" w:bidi="ar-SA"/>
      </w:rPr>
    </w:lvl>
    <w:lvl w:ilvl="7" w:tplc="CBE0D320">
      <w:numFmt w:val="bullet"/>
      <w:lvlText w:val="•"/>
      <w:lvlJc w:val="left"/>
      <w:pPr>
        <w:ind w:left="5656" w:hanging="579"/>
      </w:pPr>
      <w:rPr>
        <w:rFonts w:hint="default"/>
        <w:lang w:val="en-AU" w:eastAsia="en-US" w:bidi="ar-SA"/>
      </w:rPr>
    </w:lvl>
    <w:lvl w:ilvl="8" w:tplc="10EA4948">
      <w:numFmt w:val="bullet"/>
      <w:lvlText w:val="•"/>
      <w:lvlJc w:val="left"/>
      <w:pPr>
        <w:ind w:left="6367" w:hanging="579"/>
      </w:pPr>
      <w:rPr>
        <w:rFonts w:hint="default"/>
        <w:lang w:val="en-AU" w:eastAsia="en-US" w:bidi="ar-SA"/>
      </w:rPr>
    </w:lvl>
  </w:abstractNum>
  <w:abstractNum w:abstractNumId="45" w15:restartNumberingAfterBreak="0">
    <w:nsid w:val="572F7C79"/>
    <w:multiLevelType w:val="hybridMultilevel"/>
    <w:tmpl w:val="121E7D14"/>
    <w:lvl w:ilvl="0" w:tplc="03BEDEF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6626464E">
      <w:numFmt w:val="bullet"/>
      <w:lvlText w:val="•"/>
      <w:lvlJc w:val="left"/>
      <w:pPr>
        <w:ind w:left="1390" w:hanging="579"/>
      </w:pPr>
      <w:rPr>
        <w:rFonts w:hint="default"/>
        <w:lang w:val="en-AU" w:eastAsia="en-US" w:bidi="ar-SA"/>
      </w:rPr>
    </w:lvl>
    <w:lvl w:ilvl="2" w:tplc="8EB2B8C8">
      <w:numFmt w:val="bullet"/>
      <w:lvlText w:val="•"/>
      <w:lvlJc w:val="left"/>
      <w:pPr>
        <w:ind w:left="2101" w:hanging="579"/>
      </w:pPr>
      <w:rPr>
        <w:rFonts w:hint="default"/>
        <w:lang w:val="en-AU" w:eastAsia="en-US" w:bidi="ar-SA"/>
      </w:rPr>
    </w:lvl>
    <w:lvl w:ilvl="3" w:tplc="442E15D0">
      <w:numFmt w:val="bullet"/>
      <w:lvlText w:val="•"/>
      <w:lvlJc w:val="left"/>
      <w:pPr>
        <w:ind w:left="2812" w:hanging="579"/>
      </w:pPr>
      <w:rPr>
        <w:rFonts w:hint="default"/>
        <w:lang w:val="en-AU" w:eastAsia="en-US" w:bidi="ar-SA"/>
      </w:rPr>
    </w:lvl>
    <w:lvl w:ilvl="4" w:tplc="1EB43328">
      <w:numFmt w:val="bullet"/>
      <w:lvlText w:val="•"/>
      <w:lvlJc w:val="left"/>
      <w:pPr>
        <w:ind w:left="3523" w:hanging="579"/>
      </w:pPr>
      <w:rPr>
        <w:rFonts w:hint="default"/>
        <w:lang w:val="en-AU" w:eastAsia="en-US" w:bidi="ar-SA"/>
      </w:rPr>
    </w:lvl>
    <w:lvl w:ilvl="5" w:tplc="CCC2E11C">
      <w:numFmt w:val="bullet"/>
      <w:lvlText w:val="•"/>
      <w:lvlJc w:val="left"/>
      <w:pPr>
        <w:ind w:left="4234" w:hanging="579"/>
      </w:pPr>
      <w:rPr>
        <w:rFonts w:hint="default"/>
        <w:lang w:val="en-AU" w:eastAsia="en-US" w:bidi="ar-SA"/>
      </w:rPr>
    </w:lvl>
    <w:lvl w:ilvl="6" w:tplc="762E5324">
      <w:numFmt w:val="bullet"/>
      <w:lvlText w:val="•"/>
      <w:lvlJc w:val="left"/>
      <w:pPr>
        <w:ind w:left="4945" w:hanging="579"/>
      </w:pPr>
      <w:rPr>
        <w:rFonts w:hint="default"/>
        <w:lang w:val="en-AU" w:eastAsia="en-US" w:bidi="ar-SA"/>
      </w:rPr>
    </w:lvl>
    <w:lvl w:ilvl="7" w:tplc="EC3E995A">
      <w:numFmt w:val="bullet"/>
      <w:lvlText w:val="•"/>
      <w:lvlJc w:val="left"/>
      <w:pPr>
        <w:ind w:left="5656" w:hanging="579"/>
      </w:pPr>
      <w:rPr>
        <w:rFonts w:hint="default"/>
        <w:lang w:val="en-AU" w:eastAsia="en-US" w:bidi="ar-SA"/>
      </w:rPr>
    </w:lvl>
    <w:lvl w:ilvl="8" w:tplc="8C4E3440">
      <w:numFmt w:val="bullet"/>
      <w:lvlText w:val="•"/>
      <w:lvlJc w:val="left"/>
      <w:pPr>
        <w:ind w:left="6367" w:hanging="579"/>
      </w:pPr>
      <w:rPr>
        <w:rFonts w:hint="default"/>
        <w:lang w:val="en-AU" w:eastAsia="en-US" w:bidi="ar-SA"/>
      </w:rPr>
    </w:lvl>
  </w:abstractNum>
  <w:abstractNum w:abstractNumId="46" w15:restartNumberingAfterBreak="0">
    <w:nsid w:val="5A8569E1"/>
    <w:multiLevelType w:val="hybridMultilevel"/>
    <w:tmpl w:val="45367C46"/>
    <w:lvl w:ilvl="0" w:tplc="EABE03A2">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A92CA80A">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F1CA7C14">
      <w:numFmt w:val="bullet"/>
      <w:lvlText w:val="•"/>
      <w:lvlJc w:val="left"/>
      <w:pPr>
        <w:ind w:left="1985" w:hanging="425"/>
      </w:pPr>
      <w:rPr>
        <w:rFonts w:hint="default"/>
        <w:lang w:val="en-AU" w:eastAsia="en-US" w:bidi="ar-SA"/>
      </w:rPr>
    </w:lvl>
    <w:lvl w:ilvl="3" w:tplc="6DEA1C48">
      <w:numFmt w:val="bullet"/>
      <w:lvlText w:val="•"/>
      <w:lvlJc w:val="left"/>
      <w:pPr>
        <w:ind w:left="2710" w:hanging="425"/>
      </w:pPr>
      <w:rPr>
        <w:rFonts w:hint="default"/>
        <w:lang w:val="en-AU" w:eastAsia="en-US" w:bidi="ar-SA"/>
      </w:rPr>
    </w:lvl>
    <w:lvl w:ilvl="4" w:tplc="368879D8">
      <w:numFmt w:val="bullet"/>
      <w:lvlText w:val="•"/>
      <w:lvlJc w:val="left"/>
      <w:pPr>
        <w:ind w:left="3436" w:hanging="425"/>
      </w:pPr>
      <w:rPr>
        <w:rFonts w:hint="default"/>
        <w:lang w:val="en-AU" w:eastAsia="en-US" w:bidi="ar-SA"/>
      </w:rPr>
    </w:lvl>
    <w:lvl w:ilvl="5" w:tplc="BACCAE8C">
      <w:numFmt w:val="bullet"/>
      <w:lvlText w:val="•"/>
      <w:lvlJc w:val="left"/>
      <w:pPr>
        <w:ind w:left="4161" w:hanging="425"/>
      </w:pPr>
      <w:rPr>
        <w:rFonts w:hint="default"/>
        <w:lang w:val="en-AU" w:eastAsia="en-US" w:bidi="ar-SA"/>
      </w:rPr>
    </w:lvl>
    <w:lvl w:ilvl="6" w:tplc="C47C4CFA">
      <w:numFmt w:val="bullet"/>
      <w:lvlText w:val="•"/>
      <w:lvlJc w:val="left"/>
      <w:pPr>
        <w:ind w:left="4887" w:hanging="425"/>
      </w:pPr>
      <w:rPr>
        <w:rFonts w:hint="default"/>
        <w:lang w:val="en-AU" w:eastAsia="en-US" w:bidi="ar-SA"/>
      </w:rPr>
    </w:lvl>
    <w:lvl w:ilvl="7" w:tplc="80501CC2">
      <w:numFmt w:val="bullet"/>
      <w:lvlText w:val="•"/>
      <w:lvlJc w:val="left"/>
      <w:pPr>
        <w:ind w:left="5612" w:hanging="425"/>
      </w:pPr>
      <w:rPr>
        <w:rFonts w:hint="default"/>
        <w:lang w:val="en-AU" w:eastAsia="en-US" w:bidi="ar-SA"/>
      </w:rPr>
    </w:lvl>
    <w:lvl w:ilvl="8" w:tplc="959C2666">
      <w:numFmt w:val="bullet"/>
      <w:lvlText w:val="•"/>
      <w:lvlJc w:val="left"/>
      <w:pPr>
        <w:ind w:left="6338" w:hanging="425"/>
      </w:pPr>
      <w:rPr>
        <w:rFonts w:hint="default"/>
        <w:lang w:val="en-AU" w:eastAsia="en-US" w:bidi="ar-SA"/>
      </w:rPr>
    </w:lvl>
  </w:abstractNum>
  <w:abstractNum w:abstractNumId="47" w15:restartNumberingAfterBreak="0">
    <w:nsid w:val="5E3550AC"/>
    <w:multiLevelType w:val="hybridMultilevel"/>
    <w:tmpl w:val="59CEBAD0"/>
    <w:lvl w:ilvl="0" w:tplc="2C90F2DA">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434C39BE">
      <w:numFmt w:val="bullet"/>
      <w:lvlText w:val="•"/>
      <w:lvlJc w:val="left"/>
      <w:pPr>
        <w:ind w:left="1390" w:hanging="579"/>
      </w:pPr>
      <w:rPr>
        <w:rFonts w:hint="default"/>
        <w:lang w:val="en-AU" w:eastAsia="en-US" w:bidi="ar-SA"/>
      </w:rPr>
    </w:lvl>
    <w:lvl w:ilvl="2" w:tplc="A210F1D2">
      <w:numFmt w:val="bullet"/>
      <w:lvlText w:val="•"/>
      <w:lvlJc w:val="left"/>
      <w:pPr>
        <w:ind w:left="2101" w:hanging="579"/>
      </w:pPr>
      <w:rPr>
        <w:rFonts w:hint="default"/>
        <w:lang w:val="en-AU" w:eastAsia="en-US" w:bidi="ar-SA"/>
      </w:rPr>
    </w:lvl>
    <w:lvl w:ilvl="3" w:tplc="C26062CE">
      <w:numFmt w:val="bullet"/>
      <w:lvlText w:val="•"/>
      <w:lvlJc w:val="left"/>
      <w:pPr>
        <w:ind w:left="2812" w:hanging="579"/>
      </w:pPr>
      <w:rPr>
        <w:rFonts w:hint="default"/>
        <w:lang w:val="en-AU" w:eastAsia="en-US" w:bidi="ar-SA"/>
      </w:rPr>
    </w:lvl>
    <w:lvl w:ilvl="4" w:tplc="D1122BEE">
      <w:numFmt w:val="bullet"/>
      <w:lvlText w:val="•"/>
      <w:lvlJc w:val="left"/>
      <w:pPr>
        <w:ind w:left="3523" w:hanging="579"/>
      </w:pPr>
      <w:rPr>
        <w:rFonts w:hint="default"/>
        <w:lang w:val="en-AU" w:eastAsia="en-US" w:bidi="ar-SA"/>
      </w:rPr>
    </w:lvl>
    <w:lvl w:ilvl="5" w:tplc="C66005AE">
      <w:numFmt w:val="bullet"/>
      <w:lvlText w:val="•"/>
      <w:lvlJc w:val="left"/>
      <w:pPr>
        <w:ind w:left="4234" w:hanging="579"/>
      </w:pPr>
      <w:rPr>
        <w:rFonts w:hint="default"/>
        <w:lang w:val="en-AU" w:eastAsia="en-US" w:bidi="ar-SA"/>
      </w:rPr>
    </w:lvl>
    <w:lvl w:ilvl="6" w:tplc="2AE2A698">
      <w:numFmt w:val="bullet"/>
      <w:lvlText w:val="•"/>
      <w:lvlJc w:val="left"/>
      <w:pPr>
        <w:ind w:left="4945" w:hanging="579"/>
      </w:pPr>
      <w:rPr>
        <w:rFonts w:hint="default"/>
        <w:lang w:val="en-AU" w:eastAsia="en-US" w:bidi="ar-SA"/>
      </w:rPr>
    </w:lvl>
    <w:lvl w:ilvl="7" w:tplc="C58C1EE4">
      <w:numFmt w:val="bullet"/>
      <w:lvlText w:val="•"/>
      <w:lvlJc w:val="left"/>
      <w:pPr>
        <w:ind w:left="5656" w:hanging="579"/>
      </w:pPr>
      <w:rPr>
        <w:rFonts w:hint="default"/>
        <w:lang w:val="en-AU" w:eastAsia="en-US" w:bidi="ar-SA"/>
      </w:rPr>
    </w:lvl>
    <w:lvl w:ilvl="8" w:tplc="5FE8C726">
      <w:numFmt w:val="bullet"/>
      <w:lvlText w:val="•"/>
      <w:lvlJc w:val="left"/>
      <w:pPr>
        <w:ind w:left="6367" w:hanging="579"/>
      </w:pPr>
      <w:rPr>
        <w:rFonts w:hint="default"/>
        <w:lang w:val="en-AU" w:eastAsia="en-US" w:bidi="ar-SA"/>
      </w:rPr>
    </w:lvl>
  </w:abstractNum>
  <w:abstractNum w:abstractNumId="48" w15:restartNumberingAfterBreak="0">
    <w:nsid w:val="63A33EF8"/>
    <w:multiLevelType w:val="hybridMultilevel"/>
    <w:tmpl w:val="E99E1504"/>
    <w:lvl w:ilvl="0" w:tplc="A900E53A">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6ECCE810">
      <w:numFmt w:val="bullet"/>
      <w:lvlText w:val="•"/>
      <w:lvlJc w:val="left"/>
      <w:pPr>
        <w:ind w:left="1390" w:hanging="579"/>
      </w:pPr>
      <w:rPr>
        <w:rFonts w:hint="default"/>
        <w:lang w:val="en-AU" w:eastAsia="en-US" w:bidi="ar-SA"/>
      </w:rPr>
    </w:lvl>
    <w:lvl w:ilvl="2" w:tplc="3732C8C4">
      <w:numFmt w:val="bullet"/>
      <w:lvlText w:val="•"/>
      <w:lvlJc w:val="left"/>
      <w:pPr>
        <w:ind w:left="2101" w:hanging="579"/>
      </w:pPr>
      <w:rPr>
        <w:rFonts w:hint="default"/>
        <w:lang w:val="en-AU" w:eastAsia="en-US" w:bidi="ar-SA"/>
      </w:rPr>
    </w:lvl>
    <w:lvl w:ilvl="3" w:tplc="A158402E">
      <w:numFmt w:val="bullet"/>
      <w:lvlText w:val="•"/>
      <w:lvlJc w:val="left"/>
      <w:pPr>
        <w:ind w:left="2812" w:hanging="579"/>
      </w:pPr>
      <w:rPr>
        <w:rFonts w:hint="default"/>
        <w:lang w:val="en-AU" w:eastAsia="en-US" w:bidi="ar-SA"/>
      </w:rPr>
    </w:lvl>
    <w:lvl w:ilvl="4" w:tplc="6FC68024">
      <w:numFmt w:val="bullet"/>
      <w:lvlText w:val="•"/>
      <w:lvlJc w:val="left"/>
      <w:pPr>
        <w:ind w:left="3523" w:hanging="579"/>
      </w:pPr>
      <w:rPr>
        <w:rFonts w:hint="default"/>
        <w:lang w:val="en-AU" w:eastAsia="en-US" w:bidi="ar-SA"/>
      </w:rPr>
    </w:lvl>
    <w:lvl w:ilvl="5" w:tplc="64441AAE">
      <w:numFmt w:val="bullet"/>
      <w:lvlText w:val="•"/>
      <w:lvlJc w:val="left"/>
      <w:pPr>
        <w:ind w:left="4234" w:hanging="579"/>
      </w:pPr>
      <w:rPr>
        <w:rFonts w:hint="default"/>
        <w:lang w:val="en-AU" w:eastAsia="en-US" w:bidi="ar-SA"/>
      </w:rPr>
    </w:lvl>
    <w:lvl w:ilvl="6" w:tplc="D99A803C">
      <w:numFmt w:val="bullet"/>
      <w:lvlText w:val="•"/>
      <w:lvlJc w:val="left"/>
      <w:pPr>
        <w:ind w:left="4945" w:hanging="579"/>
      </w:pPr>
      <w:rPr>
        <w:rFonts w:hint="default"/>
        <w:lang w:val="en-AU" w:eastAsia="en-US" w:bidi="ar-SA"/>
      </w:rPr>
    </w:lvl>
    <w:lvl w:ilvl="7" w:tplc="09A44C40">
      <w:numFmt w:val="bullet"/>
      <w:lvlText w:val="•"/>
      <w:lvlJc w:val="left"/>
      <w:pPr>
        <w:ind w:left="5656" w:hanging="579"/>
      </w:pPr>
      <w:rPr>
        <w:rFonts w:hint="default"/>
        <w:lang w:val="en-AU" w:eastAsia="en-US" w:bidi="ar-SA"/>
      </w:rPr>
    </w:lvl>
    <w:lvl w:ilvl="8" w:tplc="8A461CBC">
      <w:numFmt w:val="bullet"/>
      <w:lvlText w:val="•"/>
      <w:lvlJc w:val="left"/>
      <w:pPr>
        <w:ind w:left="6367" w:hanging="579"/>
      </w:pPr>
      <w:rPr>
        <w:rFonts w:hint="default"/>
        <w:lang w:val="en-AU" w:eastAsia="en-US" w:bidi="ar-SA"/>
      </w:rPr>
    </w:lvl>
  </w:abstractNum>
  <w:abstractNum w:abstractNumId="49" w15:restartNumberingAfterBreak="0">
    <w:nsid w:val="66DA7DEB"/>
    <w:multiLevelType w:val="hybridMultilevel"/>
    <w:tmpl w:val="C4F2FCDA"/>
    <w:lvl w:ilvl="0" w:tplc="D222EAF8">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E56025FC">
      <w:numFmt w:val="bullet"/>
      <w:lvlText w:val="•"/>
      <w:lvlJc w:val="left"/>
      <w:pPr>
        <w:ind w:left="1390" w:hanging="579"/>
      </w:pPr>
      <w:rPr>
        <w:rFonts w:hint="default"/>
        <w:lang w:val="en-AU" w:eastAsia="en-US" w:bidi="ar-SA"/>
      </w:rPr>
    </w:lvl>
    <w:lvl w:ilvl="2" w:tplc="8F924294">
      <w:numFmt w:val="bullet"/>
      <w:lvlText w:val="•"/>
      <w:lvlJc w:val="left"/>
      <w:pPr>
        <w:ind w:left="2101" w:hanging="579"/>
      </w:pPr>
      <w:rPr>
        <w:rFonts w:hint="default"/>
        <w:lang w:val="en-AU" w:eastAsia="en-US" w:bidi="ar-SA"/>
      </w:rPr>
    </w:lvl>
    <w:lvl w:ilvl="3" w:tplc="9A6C9396">
      <w:numFmt w:val="bullet"/>
      <w:lvlText w:val="•"/>
      <w:lvlJc w:val="left"/>
      <w:pPr>
        <w:ind w:left="2812" w:hanging="579"/>
      </w:pPr>
      <w:rPr>
        <w:rFonts w:hint="default"/>
        <w:lang w:val="en-AU" w:eastAsia="en-US" w:bidi="ar-SA"/>
      </w:rPr>
    </w:lvl>
    <w:lvl w:ilvl="4" w:tplc="7CAEBBF2">
      <w:numFmt w:val="bullet"/>
      <w:lvlText w:val="•"/>
      <w:lvlJc w:val="left"/>
      <w:pPr>
        <w:ind w:left="3523" w:hanging="579"/>
      </w:pPr>
      <w:rPr>
        <w:rFonts w:hint="default"/>
        <w:lang w:val="en-AU" w:eastAsia="en-US" w:bidi="ar-SA"/>
      </w:rPr>
    </w:lvl>
    <w:lvl w:ilvl="5" w:tplc="E7A4008A">
      <w:numFmt w:val="bullet"/>
      <w:lvlText w:val="•"/>
      <w:lvlJc w:val="left"/>
      <w:pPr>
        <w:ind w:left="4234" w:hanging="579"/>
      </w:pPr>
      <w:rPr>
        <w:rFonts w:hint="default"/>
        <w:lang w:val="en-AU" w:eastAsia="en-US" w:bidi="ar-SA"/>
      </w:rPr>
    </w:lvl>
    <w:lvl w:ilvl="6" w:tplc="1BCCB004">
      <w:numFmt w:val="bullet"/>
      <w:lvlText w:val="•"/>
      <w:lvlJc w:val="left"/>
      <w:pPr>
        <w:ind w:left="4945" w:hanging="579"/>
      </w:pPr>
      <w:rPr>
        <w:rFonts w:hint="default"/>
        <w:lang w:val="en-AU" w:eastAsia="en-US" w:bidi="ar-SA"/>
      </w:rPr>
    </w:lvl>
    <w:lvl w:ilvl="7" w:tplc="2174BFEE">
      <w:numFmt w:val="bullet"/>
      <w:lvlText w:val="•"/>
      <w:lvlJc w:val="left"/>
      <w:pPr>
        <w:ind w:left="5656" w:hanging="579"/>
      </w:pPr>
      <w:rPr>
        <w:rFonts w:hint="default"/>
        <w:lang w:val="en-AU" w:eastAsia="en-US" w:bidi="ar-SA"/>
      </w:rPr>
    </w:lvl>
    <w:lvl w:ilvl="8" w:tplc="C8C6FF3A">
      <w:numFmt w:val="bullet"/>
      <w:lvlText w:val="•"/>
      <w:lvlJc w:val="left"/>
      <w:pPr>
        <w:ind w:left="6367" w:hanging="579"/>
      </w:pPr>
      <w:rPr>
        <w:rFonts w:hint="default"/>
        <w:lang w:val="en-AU" w:eastAsia="en-US" w:bidi="ar-SA"/>
      </w:rPr>
    </w:lvl>
  </w:abstractNum>
  <w:abstractNum w:abstractNumId="50" w15:restartNumberingAfterBreak="0">
    <w:nsid w:val="685971E9"/>
    <w:multiLevelType w:val="hybridMultilevel"/>
    <w:tmpl w:val="73C263B6"/>
    <w:lvl w:ilvl="0" w:tplc="9A74E91A">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52B8CF82">
      <w:numFmt w:val="bullet"/>
      <w:lvlText w:val="•"/>
      <w:lvlJc w:val="left"/>
      <w:pPr>
        <w:ind w:left="1390" w:hanging="579"/>
      </w:pPr>
      <w:rPr>
        <w:rFonts w:hint="default"/>
        <w:lang w:val="en-AU" w:eastAsia="en-US" w:bidi="ar-SA"/>
      </w:rPr>
    </w:lvl>
    <w:lvl w:ilvl="2" w:tplc="315296EE">
      <w:numFmt w:val="bullet"/>
      <w:lvlText w:val="•"/>
      <w:lvlJc w:val="left"/>
      <w:pPr>
        <w:ind w:left="2101" w:hanging="579"/>
      </w:pPr>
      <w:rPr>
        <w:rFonts w:hint="default"/>
        <w:lang w:val="en-AU" w:eastAsia="en-US" w:bidi="ar-SA"/>
      </w:rPr>
    </w:lvl>
    <w:lvl w:ilvl="3" w:tplc="A2B6CED2">
      <w:numFmt w:val="bullet"/>
      <w:lvlText w:val="•"/>
      <w:lvlJc w:val="left"/>
      <w:pPr>
        <w:ind w:left="2812" w:hanging="579"/>
      </w:pPr>
      <w:rPr>
        <w:rFonts w:hint="default"/>
        <w:lang w:val="en-AU" w:eastAsia="en-US" w:bidi="ar-SA"/>
      </w:rPr>
    </w:lvl>
    <w:lvl w:ilvl="4" w:tplc="F1249976">
      <w:numFmt w:val="bullet"/>
      <w:lvlText w:val="•"/>
      <w:lvlJc w:val="left"/>
      <w:pPr>
        <w:ind w:left="3523" w:hanging="579"/>
      </w:pPr>
      <w:rPr>
        <w:rFonts w:hint="default"/>
        <w:lang w:val="en-AU" w:eastAsia="en-US" w:bidi="ar-SA"/>
      </w:rPr>
    </w:lvl>
    <w:lvl w:ilvl="5" w:tplc="E05A8FAC">
      <w:numFmt w:val="bullet"/>
      <w:lvlText w:val="•"/>
      <w:lvlJc w:val="left"/>
      <w:pPr>
        <w:ind w:left="4234" w:hanging="579"/>
      </w:pPr>
      <w:rPr>
        <w:rFonts w:hint="default"/>
        <w:lang w:val="en-AU" w:eastAsia="en-US" w:bidi="ar-SA"/>
      </w:rPr>
    </w:lvl>
    <w:lvl w:ilvl="6" w:tplc="59D6FFB0">
      <w:numFmt w:val="bullet"/>
      <w:lvlText w:val="•"/>
      <w:lvlJc w:val="left"/>
      <w:pPr>
        <w:ind w:left="4945" w:hanging="579"/>
      </w:pPr>
      <w:rPr>
        <w:rFonts w:hint="default"/>
        <w:lang w:val="en-AU" w:eastAsia="en-US" w:bidi="ar-SA"/>
      </w:rPr>
    </w:lvl>
    <w:lvl w:ilvl="7" w:tplc="A0D4704A">
      <w:numFmt w:val="bullet"/>
      <w:lvlText w:val="•"/>
      <w:lvlJc w:val="left"/>
      <w:pPr>
        <w:ind w:left="5656" w:hanging="579"/>
      </w:pPr>
      <w:rPr>
        <w:rFonts w:hint="default"/>
        <w:lang w:val="en-AU" w:eastAsia="en-US" w:bidi="ar-SA"/>
      </w:rPr>
    </w:lvl>
    <w:lvl w:ilvl="8" w:tplc="51521FE2">
      <w:numFmt w:val="bullet"/>
      <w:lvlText w:val="•"/>
      <w:lvlJc w:val="left"/>
      <w:pPr>
        <w:ind w:left="6367" w:hanging="579"/>
      </w:pPr>
      <w:rPr>
        <w:rFonts w:hint="default"/>
        <w:lang w:val="en-AU" w:eastAsia="en-US" w:bidi="ar-SA"/>
      </w:rPr>
    </w:lvl>
  </w:abstractNum>
  <w:abstractNum w:abstractNumId="51" w15:restartNumberingAfterBreak="0">
    <w:nsid w:val="6DC162E4"/>
    <w:multiLevelType w:val="hybridMultilevel"/>
    <w:tmpl w:val="3D926324"/>
    <w:lvl w:ilvl="0" w:tplc="B0A0742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20B65F94">
      <w:numFmt w:val="bullet"/>
      <w:lvlText w:val="•"/>
      <w:lvlJc w:val="left"/>
      <w:pPr>
        <w:ind w:left="1390" w:hanging="579"/>
      </w:pPr>
      <w:rPr>
        <w:rFonts w:hint="default"/>
        <w:lang w:val="en-AU" w:eastAsia="en-US" w:bidi="ar-SA"/>
      </w:rPr>
    </w:lvl>
    <w:lvl w:ilvl="2" w:tplc="4872C114">
      <w:numFmt w:val="bullet"/>
      <w:lvlText w:val="•"/>
      <w:lvlJc w:val="left"/>
      <w:pPr>
        <w:ind w:left="2101" w:hanging="579"/>
      </w:pPr>
      <w:rPr>
        <w:rFonts w:hint="default"/>
        <w:lang w:val="en-AU" w:eastAsia="en-US" w:bidi="ar-SA"/>
      </w:rPr>
    </w:lvl>
    <w:lvl w:ilvl="3" w:tplc="C090F03E">
      <w:numFmt w:val="bullet"/>
      <w:lvlText w:val="•"/>
      <w:lvlJc w:val="left"/>
      <w:pPr>
        <w:ind w:left="2812" w:hanging="579"/>
      </w:pPr>
      <w:rPr>
        <w:rFonts w:hint="default"/>
        <w:lang w:val="en-AU" w:eastAsia="en-US" w:bidi="ar-SA"/>
      </w:rPr>
    </w:lvl>
    <w:lvl w:ilvl="4" w:tplc="097AF2AE">
      <w:numFmt w:val="bullet"/>
      <w:lvlText w:val="•"/>
      <w:lvlJc w:val="left"/>
      <w:pPr>
        <w:ind w:left="3523" w:hanging="579"/>
      </w:pPr>
      <w:rPr>
        <w:rFonts w:hint="default"/>
        <w:lang w:val="en-AU" w:eastAsia="en-US" w:bidi="ar-SA"/>
      </w:rPr>
    </w:lvl>
    <w:lvl w:ilvl="5" w:tplc="AA9E22CC">
      <w:numFmt w:val="bullet"/>
      <w:lvlText w:val="•"/>
      <w:lvlJc w:val="left"/>
      <w:pPr>
        <w:ind w:left="4234" w:hanging="579"/>
      </w:pPr>
      <w:rPr>
        <w:rFonts w:hint="default"/>
        <w:lang w:val="en-AU" w:eastAsia="en-US" w:bidi="ar-SA"/>
      </w:rPr>
    </w:lvl>
    <w:lvl w:ilvl="6" w:tplc="6E845E2E">
      <w:numFmt w:val="bullet"/>
      <w:lvlText w:val="•"/>
      <w:lvlJc w:val="left"/>
      <w:pPr>
        <w:ind w:left="4945" w:hanging="579"/>
      </w:pPr>
      <w:rPr>
        <w:rFonts w:hint="default"/>
        <w:lang w:val="en-AU" w:eastAsia="en-US" w:bidi="ar-SA"/>
      </w:rPr>
    </w:lvl>
    <w:lvl w:ilvl="7" w:tplc="91B072D6">
      <w:numFmt w:val="bullet"/>
      <w:lvlText w:val="•"/>
      <w:lvlJc w:val="left"/>
      <w:pPr>
        <w:ind w:left="5656" w:hanging="579"/>
      </w:pPr>
      <w:rPr>
        <w:rFonts w:hint="default"/>
        <w:lang w:val="en-AU" w:eastAsia="en-US" w:bidi="ar-SA"/>
      </w:rPr>
    </w:lvl>
    <w:lvl w:ilvl="8" w:tplc="1DF00638">
      <w:numFmt w:val="bullet"/>
      <w:lvlText w:val="•"/>
      <w:lvlJc w:val="left"/>
      <w:pPr>
        <w:ind w:left="6367" w:hanging="579"/>
      </w:pPr>
      <w:rPr>
        <w:rFonts w:hint="default"/>
        <w:lang w:val="en-AU" w:eastAsia="en-US" w:bidi="ar-SA"/>
      </w:rPr>
    </w:lvl>
  </w:abstractNum>
  <w:abstractNum w:abstractNumId="52" w15:restartNumberingAfterBreak="0">
    <w:nsid w:val="6E435C4C"/>
    <w:multiLevelType w:val="hybridMultilevel"/>
    <w:tmpl w:val="218A252E"/>
    <w:lvl w:ilvl="0" w:tplc="A0D6A3F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65DC1F4A">
      <w:numFmt w:val="bullet"/>
      <w:lvlText w:val="•"/>
      <w:lvlJc w:val="left"/>
      <w:pPr>
        <w:ind w:left="1390" w:hanging="579"/>
      </w:pPr>
      <w:rPr>
        <w:rFonts w:hint="default"/>
        <w:lang w:val="en-AU" w:eastAsia="en-US" w:bidi="ar-SA"/>
      </w:rPr>
    </w:lvl>
    <w:lvl w:ilvl="2" w:tplc="A91C245A">
      <w:numFmt w:val="bullet"/>
      <w:lvlText w:val="•"/>
      <w:lvlJc w:val="left"/>
      <w:pPr>
        <w:ind w:left="2101" w:hanging="579"/>
      </w:pPr>
      <w:rPr>
        <w:rFonts w:hint="default"/>
        <w:lang w:val="en-AU" w:eastAsia="en-US" w:bidi="ar-SA"/>
      </w:rPr>
    </w:lvl>
    <w:lvl w:ilvl="3" w:tplc="1B6A18C0">
      <w:numFmt w:val="bullet"/>
      <w:lvlText w:val="•"/>
      <w:lvlJc w:val="left"/>
      <w:pPr>
        <w:ind w:left="2812" w:hanging="579"/>
      </w:pPr>
      <w:rPr>
        <w:rFonts w:hint="default"/>
        <w:lang w:val="en-AU" w:eastAsia="en-US" w:bidi="ar-SA"/>
      </w:rPr>
    </w:lvl>
    <w:lvl w:ilvl="4" w:tplc="C73015AE">
      <w:numFmt w:val="bullet"/>
      <w:lvlText w:val="•"/>
      <w:lvlJc w:val="left"/>
      <w:pPr>
        <w:ind w:left="3523" w:hanging="579"/>
      </w:pPr>
      <w:rPr>
        <w:rFonts w:hint="default"/>
        <w:lang w:val="en-AU" w:eastAsia="en-US" w:bidi="ar-SA"/>
      </w:rPr>
    </w:lvl>
    <w:lvl w:ilvl="5" w:tplc="00E24232">
      <w:numFmt w:val="bullet"/>
      <w:lvlText w:val="•"/>
      <w:lvlJc w:val="left"/>
      <w:pPr>
        <w:ind w:left="4234" w:hanging="579"/>
      </w:pPr>
      <w:rPr>
        <w:rFonts w:hint="default"/>
        <w:lang w:val="en-AU" w:eastAsia="en-US" w:bidi="ar-SA"/>
      </w:rPr>
    </w:lvl>
    <w:lvl w:ilvl="6" w:tplc="E24064B2">
      <w:numFmt w:val="bullet"/>
      <w:lvlText w:val="•"/>
      <w:lvlJc w:val="left"/>
      <w:pPr>
        <w:ind w:left="4945" w:hanging="579"/>
      </w:pPr>
      <w:rPr>
        <w:rFonts w:hint="default"/>
        <w:lang w:val="en-AU" w:eastAsia="en-US" w:bidi="ar-SA"/>
      </w:rPr>
    </w:lvl>
    <w:lvl w:ilvl="7" w:tplc="9BAA31A2">
      <w:numFmt w:val="bullet"/>
      <w:lvlText w:val="•"/>
      <w:lvlJc w:val="left"/>
      <w:pPr>
        <w:ind w:left="5656" w:hanging="579"/>
      </w:pPr>
      <w:rPr>
        <w:rFonts w:hint="default"/>
        <w:lang w:val="en-AU" w:eastAsia="en-US" w:bidi="ar-SA"/>
      </w:rPr>
    </w:lvl>
    <w:lvl w:ilvl="8" w:tplc="82CEAC2C">
      <w:numFmt w:val="bullet"/>
      <w:lvlText w:val="•"/>
      <w:lvlJc w:val="left"/>
      <w:pPr>
        <w:ind w:left="6367" w:hanging="579"/>
      </w:pPr>
      <w:rPr>
        <w:rFonts w:hint="default"/>
        <w:lang w:val="en-AU" w:eastAsia="en-US" w:bidi="ar-SA"/>
      </w:rPr>
    </w:lvl>
  </w:abstractNum>
  <w:abstractNum w:abstractNumId="53" w15:restartNumberingAfterBreak="0">
    <w:nsid w:val="6F5303D8"/>
    <w:multiLevelType w:val="hybridMultilevel"/>
    <w:tmpl w:val="3B14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6B5A7E"/>
    <w:multiLevelType w:val="hybridMultilevel"/>
    <w:tmpl w:val="B9242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C7791D"/>
    <w:multiLevelType w:val="hybridMultilevel"/>
    <w:tmpl w:val="52143714"/>
    <w:lvl w:ilvl="0" w:tplc="51E67D4E">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79621644">
      <w:numFmt w:val="bullet"/>
      <w:lvlText w:val="•"/>
      <w:lvlJc w:val="left"/>
      <w:pPr>
        <w:ind w:left="1390" w:hanging="579"/>
      </w:pPr>
      <w:rPr>
        <w:rFonts w:hint="default"/>
        <w:lang w:val="en-AU" w:eastAsia="en-US" w:bidi="ar-SA"/>
      </w:rPr>
    </w:lvl>
    <w:lvl w:ilvl="2" w:tplc="7A36F766">
      <w:numFmt w:val="bullet"/>
      <w:lvlText w:val="•"/>
      <w:lvlJc w:val="left"/>
      <w:pPr>
        <w:ind w:left="2101" w:hanging="579"/>
      </w:pPr>
      <w:rPr>
        <w:rFonts w:hint="default"/>
        <w:lang w:val="en-AU" w:eastAsia="en-US" w:bidi="ar-SA"/>
      </w:rPr>
    </w:lvl>
    <w:lvl w:ilvl="3" w:tplc="89CE119C">
      <w:numFmt w:val="bullet"/>
      <w:lvlText w:val="•"/>
      <w:lvlJc w:val="left"/>
      <w:pPr>
        <w:ind w:left="2812" w:hanging="579"/>
      </w:pPr>
      <w:rPr>
        <w:rFonts w:hint="default"/>
        <w:lang w:val="en-AU" w:eastAsia="en-US" w:bidi="ar-SA"/>
      </w:rPr>
    </w:lvl>
    <w:lvl w:ilvl="4" w:tplc="D42069A2">
      <w:numFmt w:val="bullet"/>
      <w:lvlText w:val="•"/>
      <w:lvlJc w:val="left"/>
      <w:pPr>
        <w:ind w:left="3523" w:hanging="579"/>
      </w:pPr>
      <w:rPr>
        <w:rFonts w:hint="default"/>
        <w:lang w:val="en-AU" w:eastAsia="en-US" w:bidi="ar-SA"/>
      </w:rPr>
    </w:lvl>
    <w:lvl w:ilvl="5" w:tplc="ED4C0A26">
      <w:numFmt w:val="bullet"/>
      <w:lvlText w:val="•"/>
      <w:lvlJc w:val="left"/>
      <w:pPr>
        <w:ind w:left="4234" w:hanging="579"/>
      </w:pPr>
      <w:rPr>
        <w:rFonts w:hint="default"/>
        <w:lang w:val="en-AU" w:eastAsia="en-US" w:bidi="ar-SA"/>
      </w:rPr>
    </w:lvl>
    <w:lvl w:ilvl="6" w:tplc="D84ED244">
      <w:numFmt w:val="bullet"/>
      <w:lvlText w:val="•"/>
      <w:lvlJc w:val="left"/>
      <w:pPr>
        <w:ind w:left="4945" w:hanging="579"/>
      </w:pPr>
      <w:rPr>
        <w:rFonts w:hint="default"/>
        <w:lang w:val="en-AU" w:eastAsia="en-US" w:bidi="ar-SA"/>
      </w:rPr>
    </w:lvl>
    <w:lvl w:ilvl="7" w:tplc="0896A4A6">
      <w:numFmt w:val="bullet"/>
      <w:lvlText w:val="•"/>
      <w:lvlJc w:val="left"/>
      <w:pPr>
        <w:ind w:left="5656" w:hanging="579"/>
      </w:pPr>
      <w:rPr>
        <w:rFonts w:hint="default"/>
        <w:lang w:val="en-AU" w:eastAsia="en-US" w:bidi="ar-SA"/>
      </w:rPr>
    </w:lvl>
    <w:lvl w:ilvl="8" w:tplc="FB963BB8">
      <w:numFmt w:val="bullet"/>
      <w:lvlText w:val="•"/>
      <w:lvlJc w:val="left"/>
      <w:pPr>
        <w:ind w:left="6367" w:hanging="579"/>
      </w:pPr>
      <w:rPr>
        <w:rFonts w:hint="default"/>
        <w:lang w:val="en-AU" w:eastAsia="en-US" w:bidi="ar-SA"/>
      </w:rPr>
    </w:lvl>
  </w:abstractNum>
  <w:abstractNum w:abstractNumId="56" w15:restartNumberingAfterBreak="0">
    <w:nsid w:val="77387942"/>
    <w:multiLevelType w:val="hybridMultilevel"/>
    <w:tmpl w:val="4E3CC32C"/>
    <w:lvl w:ilvl="0" w:tplc="F440C2B0">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7B40D1D0">
      <w:numFmt w:val="bullet"/>
      <w:lvlText w:val="•"/>
      <w:lvlJc w:val="left"/>
      <w:pPr>
        <w:ind w:left="1390" w:hanging="579"/>
      </w:pPr>
      <w:rPr>
        <w:rFonts w:hint="default"/>
        <w:lang w:val="en-AU" w:eastAsia="en-US" w:bidi="ar-SA"/>
      </w:rPr>
    </w:lvl>
    <w:lvl w:ilvl="2" w:tplc="C9E8767E">
      <w:numFmt w:val="bullet"/>
      <w:lvlText w:val="•"/>
      <w:lvlJc w:val="left"/>
      <w:pPr>
        <w:ind w:left="2101" w:hanging="579"/>
      </w:pPr>
      <w:rPr>
        <w:rFonts w:hint="default"/>
        <w:lang w:val="en-AU" w:eastAsia="en-US" w:bidi="ar-SA"/>
      </w:rPr>
    </w:lvl>
    <w:lvl w:ilvl="3" w:tplc="37A4FCF8">
      <w:numFmt w:val="bullet"/>
      <w:lvlText w:val="•"/>
      <w:lvlJc w:val="left"/>
      <w:pPr>
        <w:ind w:left="2812" w:hanging="579"/>
      </w:pPr>
      <w:rPr>
        <w:rFonts w:hint="default"/>
        <w:lang w:val="en-AU" w:eastAsia="en-US" w:bidi="ar-SA"/>
      </w:rPr>
    </w:lvl>
    <w:lvl w:ilvl="4" w:tplc="45CC0D10">
      <w:numFmt w:val="bullet"/>
      <w:lvlText w:val="•"/>
      <w:lvlJc w:val="left"/>
      <w:pPr>
        <w:ind w:left="3523" w:hanging="579"/>
      </w:pPr>
      <w:rPr>
        <w:rFonts w:hint="default"/>
        <w:lang w:val="en-AU" w:eastAsia="en-US" w:bidi="ar-SA"/>
      </w:rPr>
    </w:lvl>
    <w:lvl w:ilvl="5" w:tplc="A21ED780">
      <w:numFmt w:val="bullet"/>
      <w:lvlText w:val="•"/>
      <w:lvlJc w:val="left"/>
      <w:pPr>
        <w:ind w:left="4234" w:hanging="579"/>
      </w:pPr>
      <w:rPr>
        <w:rFonts w:hint="default"/>
        <w:lang w:val="en-AU" w:eastAsia="en-US" w:bidi="ar-SA"/>
      </w:rPr>
    </w:lvl>
    <w:lvl w:ilvl="6" w:tplc="0B505740">
      <w:numFmt w:val="bullet"/>
      <w:lvlText w:val="•"/>
      <w:lvlJc w:val="left"/>
      <w:pPr>
        <w:ind w:left="4945" w:hanging="579"/>
      </w:pPr>
      <w:rPr>
        <w:rFonts w:hint="default"/>
        <w:lang w:val="en-AU" w:eastAsia="en-US" w:bidi="ar-SA"/>
      </w:rPr>
    </w:lvl>
    <w:lvl w:ilvl="7" w:tplc="9C76E87A">
      <w:numFmt w:val="bullet"/>
      <w:lvlText w:val="•"/>
      <w:lvlJc w:val="left"/>
      <w:pPr>
        <w:ind w:left="5656" w:hanging="579"/>
      </w:pPr>
      <w:rPr>
        <w:rFonts w:hint="default"/>
        <w:lang w:val="en-AU" w:eastAsia="en-US" w:bidi="ar-SA"/>
      </w:rPr>
    </w:lvl>
    <w:lvl w:ilvl="8" w:tplc="56AEE6C0">
      <w:numFmt w:val="bullet"/>
      <w:lvlText w:val="•"/>
      <w:lvlJc w:val="left"/>
      <w:pPr>
        <w:ind w:left="6367" w:hanging="579"/>
      </w:pPr>
      <w:rPr>
        <w:rFonts w:hint="default"/>
        <w:lang w:val="en-AU" w:eastAsia="en-US" w:bidi="ar-SA"/>
      </w:rPr>
    </w:lvl>
  </w:abstractNum>
  <w:abstractNum w:abstractNumId="57" w15:restartNumberingAfterBreak="0">
    <w:nsid w:val="783965E2"/>
    <w:multiLevelType w:val="hybridMultilevel"/>
    <w:tmpl w:val="AD7E4B9E"/>
    <w:lvl w:ilvl="0" w:tplc="7792BCA8">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03CE47C8">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2B909CD2">
      <w:numFmt w:val="bullet"/>
      <w:lvlText w:val="•"/>
      <w:lvlJc w:val="left"/>
      <w:pPr>
        <w:ind w:left="1985" w:hanging="425"/>
      </w:pPr>
      <w:rPr>
        <w:rFonts w:hint="default"/>
        <w:lang w:val="en-AU" w:eastAsia="en-US" w:bidi="ar-SA"/>
      </w:rPr>
    </w:lvl>
    <w:lvl w:ilvl="3" w:tplc="ACF22C38">
      <w:numFmt w:val="bullet"/>
      <w:lvlText w:val="•"/>
      <w:lvlJc w:val="left"/>
      <w:pPr>
        <w:ind w:left="2710" w:hanging="425"/>
      </w:pPr>
      <w:rPr>
        <w:rFonts w:hint="default"/>
        <w:lang w:val="en-AU" w:eastAsia="en-US" w:bidi="ar-SA"/>
      </w:rPr>
    </w:lvl>
    <w:lvl w:ilvl="4" w:tplc="B71EB04A">
      <w:numFmt w:val="bullet"/>
      <w:lvlText w:val="•"/>
      <w:lvlJc w:val="left"/>
      <w:pPr>
        <w:ind w:left="3436" w:hanging="425"/>
      </w:pPr>
      <w:rPr>
        <w:rFonts w:hint="default"/>
        <w:lang w:val="en-AU" w:eastAsia="en-US" w:bidi="ar-SA"/>
      </w:rPr>
    </w:lvl>
    <w:lvl w:ilvl="5" w:tplc="88E40914">
      <w:numFmt w:val="bullet"/>
      <w:lvlText w:val="•"/>
      <w:lvlJc w:val="left"/>
      <w:pPr>
        <w:ind w:left="4161" w:hanging="425"/>
      </w:pPr>
      <w:rPr>
        <w:rFonts w:hint="default"/>
        <w:lang w:val="en-AU" w:eastAsia="en-US" w:bidi="ar-SA"/>
      </w:rPr>
    </w:lvl>
    <w:lvl w:ilvl="6" w:tplc="A296C8C4">
      <w:numFmt w:val="bullet"/>
      <w:lvlText w:val="•"/>
      <w:lvlJc w:val="left"/>
      <w:pPr>
        <w:ind w:left="4887" w:hanging="425"/>
      </w:pPr>
      <w:rPr>
        <w:rFonts w:hint="default"/>
        <w:lang w:val="en-AU" w:eastAsia="en-US" w:bidi="ar-SA"/>
      </w:rPr>
    </w:lvl>
    <w:lvl w:ilvl="7" w:tplc="BD0E597C">
      <w:numFmt w:val="bullet"/>
      <w:lvlText w:val="•"/>
      <w:lvlJc w:val="left"/>
      <w:pPr>
        <w:ind w:left="5612" w:hanging="425"/>
      </w:pPr>
      <w:rPr>
        <w:rFonts w:hint="default"/>
        <w:lang w:val="en-AU" w:eastAsia="en-US" w:bidi="ar-SA"/>
      </w:rPr>
    </w:lvl>
    <w:lvl w:ilvl="8" w:tplc="4C281016">
      <w:numFmt w:val="bullet"/>
      <w:lvlText w:val="•"/>
      <w:lvlJc w:val="left"/>
      <w:pPr>
        <w:ind w:left="6338" w:hanging="425"/>
      </w:pPr>
      <w:rPr>
        <w:rFonts w:hint="default"/>
        <w:lang w:val="en-AU" w:eastAsia="en-US" w:bidi="ar-SA"/>
      </w:rPr>
    </w:lvl>
  </w:abstractNum>
  <w:abstractNum w:abstractNumId="58" w15:restartNumberingAfterBreak="0">
    <w:nsid w:val="79F21755"/>
    <w:multiLevelType w:val="hybridMultilevel"/>
    <w:tmpl w:val="856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D05B48"/>
    <w:multiLevelType w:val="hybridMultilevel"/>
    <w:tmpl w:val="342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FD7E8A"/>
    <w:multiLevelType w:val="hybridMultilevel"/>
    <w:tmpl w:val="B3D4729C"/>
    <w:lvl w:ilvl="0" w:tplc="2C344BF4">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37E23D40">
      <w:numFmt w:val="bullet"/>
      <w:lvlText w:val="o"/>
      <w:lvlJc w:val="left"/>
      <w:pPr>
        <w:ind w:left="1269" w:hanging="425"/>
      </w:pPr>
      <w:rPr>
        <w:rFonts w:ascii="Courier New" w:eastAsia="Courier New" w:hAnsi="Courier New" w:cs="Courier New" w:hint="default"/>
        <w:b w:val="0"/>
        <w:bCs w:val="0"/>
        <w:i w:val="0"/>
        <w:iCs w:val="0"/>
        <w:w w:val="100"/>
        <w:sz w:val="22"/>
        <w:szCs w:val="22"/>
        <w:lang w:val="en-AU" w:eastAsia="en-US" w:bidi="ar-SA"/>
      </w:rPr>
    </w:lvl>
    <w:lvl w:ilvl="2" w:tplc="1DCA148A">
      <w:numFmt w:val="bullet"/>
      <w:lvlText w:val="•"/>
      <w:lvlJc w:val="left"/>
      <w:pPr>
        <w:ind w:left="1985" w:hanging="425"/>
      </w:pPr>
      <w:rPr>
        <w:rFonts w:hint="default"/>
        <w:lang w:val="en-AU" w:eastAsia="en-US" w:bidi="ar-SA"/>
      </w:rPr>
    </w:lvl>
    <w:lvl w:ilvl="3" w:tplc="529A5FF2">
      <w:numFmt w:val="bullet"/>
      <w:lvlText w:val="•"/>
      <w:lvlJc w:val="left"/>
      <w:pPr>
        <w:ind w:left="2710" w:hanging="425"/>
      </w:pPr>
      <w:rPr>
        <w:rFonts w:hint="default"/>
        <w:lang w:val="en-AU" w:eastAsia="en-US" w:bidi="ar-SA"/>
      </w:rPr>
    </w:lvl>
    <w:lvl w:ilvl="4" w:tplc="3352217E">
      <w:numFmt w:val="bullet"/>
      <w:lvlText w:val="•"/>
      <w:lvlJc w:val="left"/>
      <w:pPr>
        <w:ind w:left="3436" w:hanging="425"/>
      </w:pPr>
      <w:rPr>
        <w:rFonts w:hint="default"/>
        <w:lang w:val="en-AU" w:eastAsia="en-US" w:bidi="ar-SA"/>
      </w:rPr>
    </w:lvl>
    <w:lvl w:ilvl="5" w:tplc="27BE2108">
      <w:numFmt w:val="bullet"/>
      <w:lvlText w:val="•"/>
      <w:lvlJc w:val="left"/>
      <w:pPr>
        <w:ind w:left="4161" w:hanging="425"/>
      </w:pPr>
      <w:rPr>
        <w:rFonts w:hint="default"/>
        <w:lang w:val="en-AU" w:eastAsia="en-US" w:bidi="ar-SA"/>
      </w:rPr>
    </w:lvl>
    <w:lvl w:ilvl="6" w:tplc="BB7871C4">
      <w:numFmt w:val="bullet"/>
      <w:lvlText w:val="•"/>
      <w:lvlJc w:val="left"/>
      <w:pPr>
        <w:ind w:left="4887" w:hanging="425"/>
      </w:pPr>
      <w:rPr>
        <w:rFonts w:hint="default"/>
        <w:lang w:val="en-AU" w:eastAsia="en-US" w:bidi="ar-SA"/>
      </w:rPr>
    </w:lvl>
    <w:lvl w:ilvl="7" w:tplc="024EA442">
      <w:numFmt w:val="bullet"/>
      <w:lvlText w:val="•"/>
      <w:lvlJc w:val="left"/>
      <w:pPr>
        <w:ind w:left="5612" w:hanging="425"/>
      </w:pPr>
      <w:rPr>
        <w:rFonts w:hint="default"/>
        <w:lang w:val="en-AU" w:eastAsia="en-US" w:bidi="ar-SA"/>
      </w:rPr>
    </w:lvl>
    <w:lvl w:ilvl="8" w:tplc="174AB9F6">
      <w:numFmt w:val="bullet"/>
      <w:lvlText w:val="•"/>
      <w:lvlJc w:val="left"/>
      <w:pPr>
        <w:ind w:left="6338" w:hanging="425"/>
      </w:pPr>
      <w:rPr>
        <w:rFonts w:hint="default"/>
        <w:lang w:val="en-AU" w:eastAsia="en-US" w:bidi="ar-SA"/>
      </w:rPr>
    </w:lvl>
  </w:abstractNum>
  <w:abstractNum w:abstractNumId="61" w15:restartNumberingAfterBreak="0">
    <w:nsid w:val="7BAE08B0"/>
    <w:multiLevelType w:val="hybridMultilevel"/>
    <w:tmpl w:val="DBB2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BC6D9A"/>
    <w:multiLevelType w:val="hybridMultilevel"/>
    <w:tmpl w:val="FE8C0A2A"/>
    <w:lvl w:ilvl="0" w:tplc="5C489C80">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579EAE00">
      <w:numFmt w:val="bullet"/>
      <w:lvlText w:val="•"/>
      <w:lvlJc w:val="left"/>
      <w:pPr>
        <w:ind w:left="1390" w:hanging="579"/>
      </w:pPr>
      <w:rPr>
        <w:rFonts w:hint="default"/>
        <w:lang w:val="en-AU" w:eastAsia="en-US" w:bidi="ar-SA"/>
      </w:rPr>
    </w:lvl>
    <w:lvl w:ilvl="2" w:tplc="B8924C6E">
      <w:numFmt w:val="bullet"/>
      <w:lvlText w:val="•"/>
      <w:lvlJc w:val="left"/>
      <w:pPr>
        <w:ind w:left="2101" w:hanging="579"/>
      </w:pPr>
      <w:rPr>
        <w:rFonts w:hint="default"/>
        <w:lang w:val="en-AU" w:eastAsia="en-US" w:bidi="ar-SA"/>
      </w:rPr>
    </w:lvl>
    <w:lvl w:ilvl="3" w:tplc="98A2FDD8">
      <w:numFmt w:val="bullet"/>
      <w:lvlText w:val="•"/>
      <w:lvlJc w:val="left"/>
      <w:pPr>
        <w:ind w:left="2812" w:hanging="579"/>
      </w:pPr>
      <w:rPr>
        <w:rFonts w:hint="default"/>
        <w:lang w:val="en-AU" w:eastAsia="en-US" w:bidi="ar-SA"/>
      </w:rPr>
    </w:lvl>
    <w:lvl w:ilvl="4" w:tplc="F8240ECC">
      <w:numFmt w:val="bullet"/>
      <w:lvlText w:val="•"/>
      <w:lvlJc w:val="left"/>
      <w:pPr>
        <w:ind w:left="3523" w:hanging="579"/>
      </w:pPr>
      <w:rPr>
        <w:rFonts w:hint="default"/>
        <w:lang w:val="en-AU" w:eastAsia="en-US" w:bidi="ar-SA"/>
      </w:rPr>
    </w:lvl>
    <w:lvl w:ilvl="5" w:tplc="FDC896C8">
      <w:numFmt w:val="bullet"/>
      <w:lvlText w:val="•"/>
      <w:lvlJc w:val="left"/>
      <w:pPr>
        <w:ind w:left="4234" w:hanging="579"/>
      </w:pPr>
      <w:rPr>
        <w:rFonts w:hint="default"/>
        <w:lang w:val="en-AU" w:eastAsia="en-US" w:bidi="ar-SA"/>
      </w:rPr>
    </w:lvl>
    <w:lvl w:ilvl="6" w:tplc="FA1A63BC">
      <w:numFmt w:val="bullet"/>
      <w:lvlText w:val="•"/>
      <w:lvlJc w:val="left"/>
      <w:pPr>
        <w:ind w:left="4945" w:hanging="579"/>
      </w:pPr>
      <w:rPr>
        <w:rFonts w:hint="default"/>
        <w:lang w:val="en-AU" w:eastAsia="en-US" w:bidi="ar-SA"/>
      </w:rPr>
    </w:lvl>
    <w:lvl w:ilvl="7" w:tplc="ADD2D2BA">
      <w:numFmt w:val="bullet"/>
      <w:lvlText w:val="•"/>
      <w:lvlJc w:val="left"/>
      <w:pPr>
        <w:ind w:left="5656" w:hanging="579"/>
      </w:pPr>
      <w:rPr>
        <w:rFonts w:hint="default"/>
        <w:lang w:val="en-AU" w:eastAsia="en-US" w:bidi="ar-SA"/>
      </w:rPr>
    </w:lvl>
    <w:lvl w:ilvl="8" w:tplc="EABA7E3A">
      <w:numFmt w:val="bullet"/>
      <w:lvlText w:val="•"/>
      <w:lvlJc w:val="left"/>
      <w:pPr>
        <w:ind w:left="6367" w:hanging="579"/>
      </w:pPr>
      <w:rPr>
        <w:rFonts w:hint="default"/>
        <w:lang w:val="en-AU" w:eastAsia="en-US" w:bidi="ar-SA"/>
      </w:rPr>
    </w:lvl>
  </w:abstractNum>
  <w:abstractNum w:abstractNumId="63" w15:restartNumberingAfterBreak="0">
    <w:nsid w:val="7F7153CF"/>
    <w:multiLevelType w:val="hybridMultilevel"/>
    <w:tmpl w:val="E98093F8"/>
    <w:lvl w:ilvl="0" w:tplc="1C1A58D6">
      <w:numFmt w:val="bullet"/>
      <w:lvlText w:val=""/>
      <w:lvlJc w:val="left"/>
      <w:pPr>
        <w:ind w:left="686" w:hanging="579"/>
      </w:pPr>
      <w:rPr>
        <w:rFonts w:ascii="Symbol" w:eastAsia="Symbol" w:hAnsi="Symbol" w:cs="Symbol" w:hint="default"/>
        <w:b w:val="0"/>
        <w:bCs w:val="0"/>
        <w:i w:val="0"/>
        <w:iCs w:val="0"/>
        <w:w w:val="100"/>
        <w:sz w:val="22"/>
        <w:szCs w:val="22"/>
        <w:lang w:val="en-AU" w:eastAsia="en-US" w:bidi="ar-SA"/>
      </w:rPr>
    </w:lvl>
    <w:lvl w:ilvl="1" w:tplc="6E6479FC">
      <w:numFmt w:val="bullet"/>
      <w:lvlText w:val="•"/>
      <w:lvlJc w:val="left"/>
      <w:pPr>
        <w:ind w:left="1390" w:hanging="579"/>
      </w:pPr>
      <w:rPr>
        <w:rFonts w:hint="default"/>
        <w:lang w:val="en-AU" w:eastAsia="en-US" w:bidi="ar-SA"/>
      </w:rPr>
    </w:lvl>
    <w:lvl w:ilvl="2" w:tplc="18B2DE06">
      <w:numFmt w:val="bullet"/>
      <w:lvlText w:val="•"/>
      <w:lvlJc w:val="left"/>
      <w:pPr>
        <w:ind w:left="2101" w:hanging="579"/>
      </w:pPr>
      <w:rPr>
        <w:rFonts w:hint="default"/>
        <w:lang w:val="en-AU" w:eastAsia="en-US" w:bidi="ar-SA"/>
      </w:rPr>
    </w:lvl>
    <w:lvl w:ilvl="3" w:tplc="4BD48AAA">
      <w:numFmt w:val="bullet"/>
      <w:lvlText w:val="•"/>
      <w:lvlJc w:val="left"/>
      <w:pPr>
        <w:ind w:left="2812" w:hanging="579"/>
      </w:pPr>
      <w:rPr>
        <w:rFonts w:hint="default"/>
        <w:lang w:val="en-AU" w:eastAsia="en-US" w:bidi="ar-SA"/>
      </w:rPr>
    </w:lvl>
    <w:lvl w:ilvl="4" w:tplc="05D899DC">
      <w:numFmt w:val="bullet"/>
      <w:lvlText w:val="•"/>
      <w:lvlJc w:val="left"/>
      <w:pPr>
        <w:ind w:left="3523" w:hanging="579"/>
      </w:pPr>
      <w:rPr>
        <w:rFonts w:hint="default"/>
        <w:lang w:val="en-AU" w:eastAsia="en-US" w:bidi="ar-SA"/>
      </w:rPr>
    </w:lvl>
    <w:lvl w:ilvl="5" w:tplc="391093B8">
      <w:numFmt w:val="bullet"/>
      <w:lvlText w:val="•"/>
      <w:lvlJc w:val="left"/>
      <w:pPr>
        <w:ind w:left="4234" w:hanging="579"/>
      </w:pPr>
      <w:rPr>
        <w:rFonts w:hint="default"/>
        <w:lang w:val="en-AU" w:eastAsia="en-US" w:bidi="ar-SA"/>
      </w:rPr>
    </w:lvl>
    <w:lvl w:ilvl="6" w:tplc="6A604FB6">
      <w:numFmt w:val="bullet"/>
      <w:lvlText w:val="•"/>
      <w:lvlJc w:val="left"/>
      <w:pPr>
        <w:ind w:left="4945" w:hanging="579"/>
      </w:pPr>
      <w:rPr>
        <w:rFonts w:hint="default"/>
        <w:lang w:val="en-AU" w:eastAsia="en-US" w:bidi="ar-SA"/>
      </w:rPr>
    </w:lvl>
    <w:lvl w:ilvl="7" w:tplc="8BDABB3E">
      <w:numFmt w:val="bullet"/>
      <w:lvlText w:val="•"/>
      <w:lvlJc w:val="left"/>
      <w:pPr>
        <w:ind w:left="5656" w:hanging="579"/>
      </w:pPr>
      <w:rPr>
        <w:rFonts w:hint="default"/>
        <w:lang w:val="en-AU" w:eastAsia="en-US" w:bidi="ar-SA"/>
      </w:rPr>
    </w:lvl>
    <w:lvl w:ilvl="8" w:tplc="F14ED406">
      <w:numFmt w:val="bullet"/>
      <w:lvlText w:val="•"/>
      <w:lvlJc w:val="left"/>
      <w:pPr>
        <w:ind w:left="6367" w:hanging="579"/>
      </w:pPr>
      <w:rPr>
        <w:rFonts w:hint="default"/>
        <w:lang w:val="en-AU" w:eastAsia="en-US" w:bidi="ar-SA"/>
      </w:rPr>
    </w:lvl>
  </w:abstractNum>
  <w:num w:numId="1">
    <w:abstractNumId w:val="58"/>
  </w:num>
  <w:num w:numId="2">
    <w:abstractNumId w:val="36"/>
  </w:num>
  <w:num w:numId="3">
    <w:abstractNumId w:val="20"/>
  </w:num>
  <w:num w:numId="4">
    <w:abstractNumId w:val="11"/>
  </w:num>
  <w:num w:numId="5">
    <w:abstractNumId w:val="9"/>
  </w:num>
  <w:num w:numId="6">
    <w:abstractNumId w:val="59"/>
  </w:num>
  <w:num w:numId="7">
    <w:abstractNumId w:val="47"/>
  </w:num>
  <w:num w:numId="8">
    <w:abstractNumId w:val="46"/>
  </w:num>
  <w:num w:numId="9">
    <w:abstractNumId w:val="34"/>
  </w:num>
  <w:num w:numId="10">
    <w:abstractNumId w:val="28"/>
  </w:num>
  <w:num w:numId="11">
    <w:abstractNumId w:val="52"/>
  </w:num>
  <w:num w:numId="12">
    <w:abstractNumId w:val="29"/>
  </w:num>
  <w:num w:numId="13">
    <w:abstractNumId w:val="13"/>
  </w:num>
  <w:num w:numId="14">
    <w:abstractNumId w:val="55"/>
  </w:num>
  <w:num w:numId="15">
    <w:abstractNumId w:val="22"/>
  </w:num>
  <w:num w:numId="16">
    <w:abstractNumId w:val="16"/>
  </w:num>
  <w:num w:numId="17">
    <w:abstractNumId w:val="27"/>
  </w:num>
  <w:num w:numId="18">
    <w:abstractNumId w:val="4"/>
  </w:num>
  <w:num w:numId="19">
    <w:abstractNumId w:val="40"/>
  </w:num>
  <w:num w:numId="20">
    <w:abstractNumId w:val="39"/>
  </w:num>
  <w:num w:numId="21">
    <w:abstractNumId w:val="30"/>
  </w:num>
  <w:num w:numId="22">
    <w:abstractNumId w:val="12"/>
  </w:num>
  <w:num w:numId="23">
    <w:abstractNumId w:val="56"/>
  </w:num>
  <w:num w:numId="24">
    <w:abstractNumId w:val="57"/>
  </w:num>
  <w:num w:numId="25">
    <w:abstractNumId w:val="42"/>
  </w:num>
  <w:num w:numId="26">
    <w:abstractNumId w:val="24"/>
  </w:num>
  <w:num w:numId="27">
    <w:abstractNumId w:val="3"/>
  </w:num>
  <w:num w:numId="28">
    <w:abstractNumId w:val="8"/>
  </w:num>
  <w:num w:numId="29">
    <w:abstractNumId w:val="50"/>
  </w:num>
  <w:num w:numId="30">
    <w:abstractNumId w:val="33"/>
  </w:num>
  <w:num w:numId="31">
    <w:abstractNumId w:val="7"/>
  </w:num>
  <w:num w:numId="32">
    <w:abstractNumId w:val="35"/>
  </w:num>
  <w:num w:numId="33">
    <w:abstractNumId w:val="17"/>
  </w:num>
  <w:num w:numId="34">
    <w:abstractNumId w:val="2"/>
  </w:num>
  <w:num w:numId="35">
    <w:abstractNumId w:val="26"/>
  </w:num>
  <w:num w:numId="36">
    <w:abstractNumId w:val="19"/>
  </w:num>
  <w:num w:numId="37">
    <w:abstractNumId w:val="5"/>
  </w:num>
  <w:num w:numId="38">
    <w:abstractNumId w:val="21"/>
  </w:num>
  <w:num w:numId="39">
    <w:abstractNumId w:val="14"/>
  </w:num>
  <w:num w:numId="40">
    <w:abstractNumId w:val="38"/>
  </w:num>
  <w:num w:numId="41">
    <w:abstractNumId w:val="44"/>
  </w:num>
  <w:num w:numId="42">
    <w:abstractNumId w:val="48"/>
  </w:num>
  <w:num w:numId="43">
    <w:abstractNumId w:val="45"/>
  </w:num>
  <w:num w:numId="44">
    <w:abstractNumId w:val="51"/>
  </w:num>
  <w:num w:numId="45">
    <w:abstractNumId w:val="49"/>
  </w:num>
  <w:num w:numId="46">
    <w:abstractNumId w:val="60"/>
  </w:num>
  <w:num w:numId="47">
    <w:abstractNumId w:val="32"/>
  </w:num>
  <w:num w:numId="48">
    <w:abstractNumId w:val="62"/>
  </w:num>
  <w:num w:numId="49">
    <w:abstractNumId w:val="63"/>
  </w:num>
  <w:num w:numId="50">
    <w:abstractNumId w:val="41"/>
  </w:num>
  <w:num w:numId="51">
    <w:abstractNumId w:val="1"/>
  </w:num>
  <w:num w:numId="52">
    <w:abstractNumId w:val="23"/>
  </w:num>
  <w:num w:numId="53">
    <w:abstractNumId w:val="6"/>
  </w:num>
  <w:num w:numId="54">
    <w:abstractNumId w:val="18"/>
  </w:num>
  <w:num w:numId="55">
    <w:abstractNumId w:val="31"/>
  </w:num>
  <w:num w:numId="56">
    <w:abstractNumId w:val="61"/>
  </w:num>
  <w:num w:numId="57">
    <w:abstractNumId w:val="10"/>
  </w:num>
  <w:num w:numId="58">
    <w:abstractNumId w:val="37"/>
  </w:num>
  <w:num w:numId="59">
    <w:abstractNumId w:val="53"/>
  </w:num>
  <w:num w:numId="60">
    <w:abstractNumId w:val="15"/>
  </w:num>
  <w:num w:numId="61">
    <w:abstractNumId w:val="25"/>
  </w:num>
  <w:num w:numId="62">
    <w:abstractNumId w:val="43"/>
  </w:num>
  <w:num w:numId="63">
    <w:abstractNumId w:val="54"/>
  </w:num>
  <w:num w:numId="64">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99"/>
    <w:rsid w:val="00005240"/>
    <w:rsid w:val="00010D73"/>
    <w:rsid w:val="00012598"/>
    <w:rsid w:val="00017E4A"/>
    <w:rsid w:val="00020F88"/>
    <w:rsid w:val="00021F56"/>
    <w:rsid w:val="0002357E"/>
    <w:rsid w:val="00025AE4"/>
    <w:rsid w:val="0002614B"/>
    <w:rsid w:val="000264D4"/>
    <w:rsid w:val="0003120B"/>
    <w:rsid w:val="0003159D"/>
    <w:rsid w:val="00034CBC"/>
    <w:rsid w:val="00035551"/>
    <w:rsid w:val="00041645"/>
    <w:rsid w:val="00043EB6"/>
    <w:rsid w:val="000469C5"/>
    <w:rsid w:val="000472B2"/>
    <w:rsid w:val="00047DA4"/>
    <w:rsid w:val="000526AF"/>
    <w:rsid w:val="000532BF"/>
    <w:rsid w:val="00056799"/>
    <w:rsid w:val="00062C17"/>
    <w:rsid w:val="0006765F"/>
    <w:rsid w:val="00067F6F"/>
    <w:rsid w:val="00071389"/>
    <w:rsid w:val="00071F38"/>
    <w:rsid w:val="00072EE0"/>
    <w:rsid w:val="00072FAF"/>
    <w:rsid w:val="0007642E"/>
    <w:rsid w:val="00081EE8"/>
    <w:rsid w:val="0008220E"/>
    <w:rsid w:val="000851EE"/>
    <w:rsid w:val="0009303C"/>
    <w:rsid w:val="00093AC6"/>
    <w:rsid w:val="000952E2"/>
    <w:rsid w:val="000A1E02"/>
    <w:rsid w:val="000A3713"/>
    <w:rsid w:val="000A4A35"/>
    <w:rsid w:val="000A5982"/>
    <w:rsid w:val="000A79C4"/>
    <w:rsid w:val="000B2E79"/>
    <w:rsid w:val="000B3702"/>
    <w:rsid w:val="000B5539"/>
    <w:rsid w:val="000B6636"/>
    <w:rsid w:val="000C00DC"/>
    <w:rsid w:val="000C01DC"/>
    <w:rsid w:val="000C3938"/>
    <w:rsid w:val="000D0C45"/>
    <w:rsid w:val="000D25EF"/>
    <w:rsid w:val="000D35BF"/>
    <w:rsid w:val="000D5A0F"/>
    <w:rsid w:val="000D7505"/>
    <w:rsid w:val="000E4E01"/>
    <w:rsid w:val="000E5455"/>
    <w:rsid w:val="000E6675"/>
    <w:rsid w:val="000F0162"/>
    <w:rsid w:val="000F1421"/>
    <w:rsid w:val="000F1726"/>
    <w:rsid w:val="000F1A54"/>
    <w:rsid w:val="000F531B"/>
    <w:rsid w:val="000F564C"/>
    <w:rsid w:val="000F5B6C"/>
    <w:rsid w:val="000F6132"/>
    <w:rsid w:val="000F6A48"/>
    <w:rsid w:val="0010200A"/>
    <w:rsid w:val="00103180"/>
    <w:rsid w:val="001043DC"/>
    <w:rsid w:val="001043F3"/>
    <w:rsid w:val="00110E1A"/>
    <w:rsid w:val="00111127"/>
    <w:rsid w:val="001143E4"/>
    <w:rsid w:val="00116543"/>
    <w:rsid w:val="00117A1F"/>
    <w:rsid w:val="00120072"/>
    <w:rsid w:val="00124365"/>
    <w:rsid w:val="00125707"/>
    <w:rsid w:val="0012773A"/>
    <w:rsid w:val="00134FB7"/>
    <w:rsid w:val="001363E1"/>
    <w:rsid w:val="00136A48"/>
    <w:rsid w:val="0014188B"/>
    <w:rsid w:val="001509F8"/>
    <w:rsid w:val="00151518"/>
    <w:rsid w:val="0015196F"/>
    <w:rsid w:val="00152B05"/>
    <w:rsid w:val="00152F8A"/>
    <w:rsid w:val="00154104"/>
    <w:rsid w:val="001545F1"/>
    <w:rsid w:val="001549A9"/>
    <w:rsid w:val="00156EF9"/>
    <w:rsid w:val="00157329"/>
    <w:rsid w:val="00161E9E"/>
    <w:rsid w:val="00162708"/>
    <w:rsid w:val="00164658"/>
    <w:rsid w:val="00165689"/>
    <w:rsid w:val="00165923"/>
    <w:rsid w:val="00165A60"/>
    <w:rsid w:val="00165D18"/>
    <w:rsid w:val="00166E93"/>
    <w:rsid w:val="00172EFB"/>
    <w:rsid w:val="00174106"/>
    <w:rsid w:val="0017504D"/>
    <w:rsid w:val="00175481"/>
    <w:rsid w:val="0017761D"/>
    <w:rsid w:val="00177C01"/>
    <w:rsid w:val="00177FF5"/>
    <w:rsid w:val="0018054E"/>
    <w:rsid w:val="00182263"/>
    <w:rsid w:val="001907F9"/>
    <w:rsid w:val="001937A3"/>
    <w:rsid w:val="00193F84"/>
    <w:rsid w:val="001954A0"/>
    <w:rsid w:val="001956B0"/>
    <w:rsid w:val="001957FB"/>
    <w:rsid w:val="00197F87"/>
    <w:rsid w:val="001A093E"/>
    <w:rsid w:val="001A1495"/>
    <w:rsid w:val="001A44EC"/>
    <w:rsid w:val="001B0E50"/>
    <w:rsid w:val="001C0C85"/>
    <w:rsid w:val="001C18F2"/>
    <w:rsid w:val="001C2421"/>
    <w:rsid w:val="001C511E"/>
    <w:rsid w:val="001C5C65"/>
    <w:rsid w:val="001D0669"/>
    <w:rsid w:val="001D56F9"/>
    <w:rsid w:val="001F0A9C"/>
    <w:rsid w:val="001F63A1"/>
    <w:rsid w:val="001F6AB8"/>
    <w:rsid w:val="001F6ADC"/>
    <w:rsid w:val="002216A6"/>
    <w:rsid w:val="00223258"/>
    <w:rsid w:val="00224B89"/>
    <w:rsid w:val="00224EEA"/>
    <w:rsid w:val="0023039F"/>
    <w:rsid w:val="00231C4B"/>
    <w:rsid w:val="002361D9"/>
    <w:rsid w:val="00236381"/>
    <w:rsid w:val="0024040D"/>
    <w:rsid w:val="00240766"/>
    <w:rsid w:val="00240F6B"/>
    <w:rsid w:val="00244093"/>
    <w:rsid w:val="00252080"/>
    <w:rsid w:val="00254839"/>
    <w:rsid w:val="0026606F"/>
    <w:rsid w:val="00266D31"/>
    <w:rsid w:val="00267A22"/>
    <w:rsid w:val="00267B1B"/>
    <w:rsid w:val="00270383"/>
    <w:rsid w:val="00273CC1"/>
    <w:rsid w:val="00274987"/>
    <w:rsid w:val="00277402"/>
    <w:rsid w:val="0028050D"/>
    <w:rsid w:val="00281DEC"/>
    <w:rsid w:val="002838E7"/>
    <w:rsid w:val="00284F5B"/>
    <w:rsid w:val="00286BCA"/>
    <w:rsid w:val="00286BF0"/>
    <w:rsid w:val="0028759A"/>
    <w:rsid w:val="00287F90"/>
    <w:rsid w:val="00290BDE"/>
    <w:rsid w:val="00291444"/>
    <w:rsid w:val="00294D8D"/>
    <w:rsid w:val="00296134"/>
    <w:rsid w:val="00296802"/>
    <w:rsid w:val="002A5062"/>
    <w:rsid w:val="002B0C29"/>
    <w:rsid w:val="002B4612"/>
    <w:rsid w:val="002B6350"/>
    <w:rsid w:val="002C1EF4"/>
    <w:rsid w:val="002C2A95"/>
    <w:rsid w:val="002C4866"/>
    <w:rsid w:val="002C6B22"/>
    <w:rsid w:val="002C79D9"/>
    <w:rsid w:val="002D3EE5"/>
    <w:rsid w:val="002D572E"/>
    <w:rsid w:val="002D780D"/>
    <w:rsid w:val="002D7A4F"/>
    <w:rsid w:val="002E380F"/>
    <w:rsid w:val="002E48C7"/>
    <w:rsid w:val="002E6974"/>
    <w:rsid w:val="002E7308"/>
    <w:rsid w:val="002F0251"/>
    <w:rsid w:val="002F3F65"/>
    <w:rsid w:val="002F775C"/>
    <w:rsid w:val="002F7ADA"/>
    <w:rsid w:val="00301315"/>
    <w:rsid w:val="00303805"/>
    <w:rsid w:val="003039A3"/>
    <w:rsid w:val="00304067"/>
    <w:rsid w:val="00312840"/>
    <w:rsid w:val="00313C01"/>
    <w:rsid w:val="00314EB7"/>
    <w:rsid w:val="00315745"/>
    <w:rsid w:val="00315A0A"/>
    <w:rsid w:val="003168E3"/>
    <w:rsid w:val="003231AC"/>
    <w:rsid w:val="00330CDE"/>
    <w:rsid w:val="0033173B"/>
    <w:rsid w:val="003327DB"/>
    <w:rsid w:val="003343CD"/>
    <w:rsid w:val="00346F95"/>
    <w:rsid w:val="003520CD"/>
    <w:rsid w:val="00352298"/>
    <w:rsid w:val="00352F0A"/>
    <w:rsid w:val="00353E8F"/>
    <w:rsid w:val="00354BEF"/>
    <w:rsid w:val="00355A10"/>
    <w:rsid w:val="003617C9"/>
    <w:rsid w:val="00363AF9"/>
    <w:rsid w:val="00364802"/>
    <w:rsid w:val="003718D1"/>
    <w:rsid w:val="0038071E"/>
    <w:rsid w:val="00382876"/>
    <w:rsid w:val="00382E09"/>
    <w:rsid w:val="00383FCF"/>
    <w:rsid w:val="0038629F"/>
    <w:rsid w:val="003875D2"/>
    <w:rsid w:val="00392F91"/>
    <w:rsid w:val="00393322"/>
    <w:rsid w:val="003946D3"/>
    <w:rsid w:val="00395B85"/>
    <w:rsid w:val="003A2905"/>
    <w:rsid w:val="003A54E0"/>
    <w:rsid w:val="003A66F8"/>
    <w:rsid w:val="003B2BDD"/>
    <w:rsid w:val="003B7006"/>
    <w:rsid w:val="003B7E42"/>
    <w:rsid w:val="003C38BC"/>
    <w:rsid w:val="003C404C"/>
    <w:rsid w:val="003C6014"/>
    <w:rsid w:val="003D0DE0"/>
    <w:rsid w:val="003D19E3"/>
    <w:rsid w:val="003D1CC0"/>
    <w:rsid w:val="003D1F3A"/>
    <w:rsid w:val="003D5E81"/>
    <w:rsid w:val="003D7074"/>
    <w:rsid w:val="003E07EA"/>
    <w:rsid w:val="003E0EA8"/>
    <w:rsid w:val="003F1CD9"/>
    <w:rsid w:val="00402D5D"/>
    <w:rsid w:val="0041070A"/>
    <w:rsid w:val="00412BA5"/>
    <w:rsid w:val="004200B1"/>
    <w:rsid w:val="0042608D"/>
    <w:rsid w:val="004268A7"/>
    <w:rsid w:val="00430859"/>
    <w:rsid w:val="00432C08"/>
    <w:rsid w:val="00432E13"/>
    <w:rsid w:val="0043620E"/>
    <w:rsid w:val="004367B0"/>
    <w:rsid w:val="00444531"/>
    <w:rsid w:val="0044549B"/>
    <w:rsid w:val="004474F4"/>
    <w:rsid w:val="0045458D"/>
    <w:rsid w:val="0046013C"/>
    <w:rsid w:val="004626BB"/>
    <w:rsid w:val="00470BF6"/>
    <w:rsid w:val="004710C5"/>
    <w:rsid w:val="004712EB"/>
    <w:rsid w:val="00473444"/>
    <w:rsid w:val="00474A23"/>
    <w:rsid w:val="0047692C"/>
    <w:rsid w:val="00480B10"/>
    <w:rsid w:val="00481A04"/>
    <w:rsid w:val="004828F7"/>
    <w:rsid w:val="0048526B"/>
    <w:rsid w:val="00485C44"/>
    <w:rsid w:val="004863AD"/>
    <w:rsid w:val="00490F9D"/>
    <w:rsid w:val="00492024"/>
    <w:rsid w:val="004948BE"/>
    <w:rsid w:val="004967C1"/>
    <w:rsid w:val="004A0802"/>
    <w:rsid w:val="004A278B"/>
    <w:rsid w:val="004A38DD"/>
    <w:rsid w:val="004A5EC4"/>
    <w:rsid w:val="004B222A"/>
    <w:rsid w:val="004B4310"/>
    <w:rsid w:val="004B5BCD"/>
    <w:rsid w:val="004B68EC"/>
    <w:rsid w:val="004B7061"/>
    <w:rsid w:val="004B7509"/>
    <w:rsid w:val="004C2823"/>
    <w:rsid w:val="004C5EA0"/>
    <w:rsid w:val="004C6740"/>
    <w:rsid w:val="004C6746"/>
    <w:rsid w:val="004C724C"/>
    <w:rsid w:val="004C758C"/>
    <w:rsid w:val="004D27C9"/>
    <w:rsid w:val="004D5355"/>
    <w:rsid w:val="004D6540"/>
    <w:rsid w:val="004D6E0C"/>
    <w:rsid w:val="004D7743"/>
    <w:rsid w:val="004D786E"/>
    <w:rsid w:val="004E25CF"/>
    <w:rsid w:val="004E3A60"/>
    <w:rsid w:val="004E4F23"/>
    <w:rsid w:val="004E73D0"/>
    <w:rsid w:val="004E7B64"/>
    <w:rsid w:val="004F28A9"/>
    <w:rsid w:val="004F4863"/>
    <w:rsid w:val="004F6FA5"/>
    <w:rsid w:val="00500AA5"/>
    <w:rsid w:val="005059BF"/>
    <w:rsid w:val="00506C30"/>
    <w:rsid w:val="00513E23"/>
    <w:rsid w:val="005152DC"/>
    <w:rsid w:val="0051663E"/>
    <w:rsid w:val="005167FD"/>
    <w:rsid w:val="00516AA8"/>
    <w:rsid w:val="00522A69"/>
    <w:rsid w:val="0052321B"/>
    <w:rsid w:val="00524C72"/>
    <w:rsid w:val="00525CE3"/>
    <w:rsid w:val="005269C5"/>
    <w:rsid w:val="00534BC4"/>
    <w:rsid w:val="00537F7A"/>
    <w:rsid w:val="00541462"/>
    <w:rsid w:val="00552A55"/>
    <w:rsid w:val="00552AD6"/>
    <w:rsid w:val="00553866"/>
    <w:rsid w:val="0055424E"/>
    <w:rsid w:val="00561CF1"/>
    <w:rsid w:val="00562C21"/>
    <w:rsid w:val="00562E5B"/>
    <w:rsid w:val="00564216"/>
    <w:rsid w:val="00564A92"/>
    <w:rsid w:val="00566A5D"/>
    <w:rsid w:val="0057004D"/>
    <w:rsid w:val="00570375"/>
    <w:rsid w:val="00577E04"/>
    <w:rsid w:val="00581DAF"/>
    <w:rsid w:val="0058387C"/>
    <w:rsid w:val="00583C1F"/>
    <w:rsid w:val="0058408F"/>
    <w:rsid w:val="005851FD"/>
    <w:rsid w:val="005864E5"/>
    <w:rsid w:val="0059030E"/>
    <w:rsid w:val="005907A5"/>
    <w:rsid w:val="00592514"/>
    <w:rsid w:val="005A1166"/>
    <w:rsid w:val="005A2B5E"/>
    <w:rsid w:val="005A6C07"/>
    <w:rsid w:val="005A728F"/>
    <w:rsid w:val="005A736D"/>
    <w:rsid w:val="005B01D3"/>
    <w:rsid w:val="005B0BE9"/>
    <w:rsid w:val="005B0C9A"/>
    <w:rsid w:val="005B2D43"/>
    <w:rsid w:val="005B45E2"/>
    <w:rsid w:val="005B5E03"/>
    <w:rsid w:val="005B6EBC"/>
    <w:rsid w:val="005C01ED"/>
    <w:rsid w:val="005C1999"/>
    <w:rsid w:val="005C2CD2"/>
    <w:rsid w:val="005C4A01"/>
    <w:rsid w:val="005C5138"/>
    <w:rsid w:val="005C539C"/>
    <w:rsid w:val="005D1990"/>
    <w:rsid w:val="005D2531"/>
    <w:rsid w:val="005D6B76"/>
    <w:rsid w:val="005D777F"/>
    <w:rsid w:val="005D7AAD"/>
    <w:rsid w:val="005E03CE"/>
    <w:rsid w:val="005E6471"/>
    <w:rsid w:val="005F1B79"/>
    <w:rsid w:val="005F2FB9"/>
    <w:rsid w:val="00602DC4"/>
    <w:rsid w:val="00602E39"/>
    <w:rsid w:val="00610A16"/>
    <w:rsid w:val="00612604"/>
    <w:rsid w:val="006126B1"/>
    <w:rsid w:val="00616589"/>
    <w:rsid w:val="00616C59"/>
    <w:rsid w:val="00617410"/>
    <w:rsid w:val="006174EB"/>
    <w:rsid w:val="00621AE0"/>
    <w:rsid w:val="00621FC9"/>
    <w:rsid w:val="00623F14"/>
    <w:rsid w:val="00624CE7"/>
    <w:rsid w:val="00624F34"/>
    <w:rsid w:val="00627588"/>
    <w:rsid w:val="006277D1"/>
    <w:rsid w:val="006357D2"/>
    <w:rsid w:val="006427AC"/>
    <w:rsid w:val="006445A9"/>
    <w:rsid w:val="00644677"/>
    <w:rsid w:val="00644FF9"/>
    <w:rsid w:val="00645389"/>
    <w:rsid w:val="00647CE5"/>
    <w:rsid w:val="00650F73"/>
    <w:rsid w:val="00651B52"/>
    <w:rsid w:val="00652F78"/>
    <w:rsid w:val="00655721"/>
    <w:rsid w:val="006571AB"/>
    <w:rsid w:val="00663AC6"/>
    <w:rsid w:val="00664B42"/>
    <w:rsid w:val="00665A9C"/>
    <w:rsid w:val="00666831"/>
    <w:rsid w:val="0066778A"/>
    <w:rsid w:val="006749DE"/>
    <w:rsid w:val="00681E79"/>
    <w:rsid w:val="00682BAE"/>
    <w:rsid w:val="00682E89"/>
    <w:rsid w:val="0068503E"/>
    <w:rsid w:val="00685B8C"/>
    <w:rsid w:val="006868EE"/>
    <w:rsid w:val="00687DD3"/>
    <w:rsid w:val="006953FC"/>
    <w:rsid w:val="00696907"/>
    <w:rsid w:val="006A11BC"/>
    <w:rsid w:val="006A30E8"/>
    <w:rsid w:val="006A6BA3"/>
    <w:rsid w:val="006A723E"/>
    <w:rsid w:val="006C3960"/>
    <w:rsid w:val="006C432C"/>
    <w:rsid w:val="006C63FF"/>
    <w:rsid w:val="006D08EC"/>
    <w:rsid w:val="006D1CFB"/>
    <w:rsid w:val="006D21B5"/>
    <w:rsid w:val="006D4B99"/>
    <w:rsid w:val="006E1224"/>
    <w:rsid w:val="006E1CDF"/>
    <w:rsid w:val="006E23B2"/>
    <w:rsid w:val="006E4A9D"/>
    <w:rsid w:val="006F27C6"/>
    <w:rsid w:val="006F37EA"/>
    <w:rsid w:val="006F5A14"/>
    <w:rsid w:val="006F5B53"/>
    <w:rsid w:val="007007ED"/>
    <w:rsid w:val="00702F3F"/>
    <w:rsid w:val="0070704D"/>
    <w:rsid w:val="00707B4D"/>
    <w:rsid w:val="00707D85"/>
    <w:rsid w:val="00710177"/>
    <w:rsid w:val="00710E49"/>
    <w:rsid w:val="00711DCD"/>
    <w:rsid w:val="00713482"/>
    <w:rsid w:val="0071447B"/>
    <w:rsid w:val="00716356"/>
    <w:rsid w:val="00716520"/>
    <w:rsid w:val="00724B98"/>
    <w:rsid w:val="00730CC7"/>
    <w:rsid w:val="0073188C"/>
    <w:rsid w:val="007338DC"/>
    <w:rsid w:val="00736468"/>
    <w:rsid w:val="00741383"/>
    <w:rsid w:val="00743F18"/>
    <w:rsid w:val="00745160"/>
    <w:rsid w:val="007453B2"/>
    <w:rsid w:val="00745DD2"/>
    <w:rsid w:val="00746BA9"/>
    <w:rsid w:val="00746BC2"/>
    <w:rsid w:val="00747A38"/>
    <w:rsid w:val="00753C0E"/>
    <w:rsid w:val="0076135F"/>
    <w:rsid w:val="00761743"/>
    <w:rsid w:val="007630DC"/>
    <w:rsid w:val="00764191"/>
    <w:rsid w:val="00764CD8"/>
    <w:rsid w:val="00764DFE"/>
    <w:rsid w:val="00764FE6"/>
    <w:rsid w:val="007670A4"/>
    <w:rsid w:val="00773E38"/>
    <w:rsid w:val="007811AD"/>
    <w:rsid w:val="007824AD"/>
    <w:rsid w:val="0078420B"/>
    <w:rsid w:val="007852D9"/>
    <w:rsid w:val="0079058F"/>
    <w:rsid w:val="00791B82"/>
    <w:rsid w:val="00795B43"/>
    <w:rsid w:val="00797980"/>
    <w:rsid w:val="00797E3B"/>
    <w:rsid w:val="007B187F"/>
    <w:rsid w:val="007B5582"/>
    <w:rsid w:val="007B714F"/>
    <w:rsid w:val="007C0F1F"/>
    <w:rsid w:val="007C1EC5"/>
    <w:rsid w:val="007C27FF"/>
    <w:rsid w:val="007C281E"/>
    <w:rsid w:val="007C3937"/>
    <w:rsid w:val="007C421C"/>
    <w:rsid w:val="007C5B33"/>
    <w:rsid w:val="007E10CC"/>
    <w:rsid w:val="007E444B"/>
    <w:rsid w:val="007F3281"/>
    <w:rsid w:val="007F68B4"/>
    <w:rsid w:val="008021AA"/>
    <w:rsid w:val="00803C92"/>
    <w:rsid w:val="008056C5"/>
    <w:rsid w:val="00811731"/>
    <w:rsid w:val="00814459"/>
    <w:rsid w:val="0082099F"/>
    <w:rsid w:val="00821450"/>
    <w:rsid w:val="00822B89"/>
    <w:rsid w:val="00822F7C"/>
    <w:rsid w:val="00826D39"/>
    <w:rsid w:val="008318B9"/>
    <w:rsid w:val="00832FA6"/>
    <w:rsid w:val="00834E7F"/>
    <w:rsid w:val="0083560F"/>
    <w:rsid w:val="00842624"/>
    <w:rsid w:val="008459B5"/>
    <w:rsid w:val="00850AAC"/>
    <w:rsid w:val="00850C60"/>
    <w:rsid w:val="00852293"/>
    <w:rsid w:val="008553B0"/>
    <w:rsid w:val="0085683B"/>
    <w:rsid w:val="00856AA5"/>
    <w:rsid w:val="00860456"/>
    <w:rsid w:val="0086200C"/>
    <w:rsid w:val="008621DB"/>
    <w:rsid w:val="0086375D"/>
    <w:rsid w:val="008661A4"/>
    <w:rsid w:val="00867D1B"/>
    <w:rsid w:val="00867D94"/>
    <w:rsid w:val="00876F91"/>
    <w:rsid w:val="00880C28"/>
    <w:rsid w:val="0088172E"/>
    <w:rsid w:val="00883098"/>
    <w:rsid w:val="00883429"/>
    <w:rsid w:val="00891AA0"/>
    <w:rsid w:val="008930C1"/>
    <w:rsid w:val="008952CB"/>
    <w:rsid w:val="00896278"/>
    <w:rsid w:val="008A5104"/>
    <w:rsid w:val="008A7F68"/>
    <w:rsid w:val="008B1119"/>
    <w:rsid w:val="008B12C1"/>
    <w:rsid w:val="008C23D8"/>
    <w:rsid w:val="008D1BC0"/>
    <w:rsid w:val="008D253D"/>
    <w:rsid w:val="008D3500"/>
    <w:rsid w:val="008D3AD3"/>
    <w:rsid w:val="008D3EC8"/>
    <w:rsid w:val="008D5364"/>
    <w:rsid w:val="008D6205"/>
    <w:rsid w:val="008D7AD3"/>
    <w:rsid w:val="008E3C42"/>
    <w:rsid w:val="008E4776"/>
    <w:rsid w:val="008E4ED2"/>
    <w:rsid w:val="008E6B7D"/>
    <w:rsid w:val="008E6E10"/>
    <w:rsid w:val="008F1D08"/>
    <w:rsid w:val="008F22C9"/>
    <w:rsid w:val="008F5A2D"/>
    <w:rsid w:val="008F67E8"/>
    <w:rsid w:val="008F68B5"/>
    <w:rsid w:val="008F68DF"/>
    <w:rsid w:val="008F73C0"/>
    <w:rsid w:val="008F7EE6"/>
    <w:rsid w:val="0090621F"/>
    <w:rsid w:val="009120AF"/>
    <w:rsid w:val="00915797"/>
    <w:rsid w:val="00915FFC"/>
    <w:rsid w:val="00922E02"/>
    <w:rsid w:val="00930560"/>
    <w:rsid w:val="00932B38"/>
    <w:rsid w:val="00935FC2"/>
    <w:rsid w:val="0095259F"/>
    <w:rsid w:val="00952FEF"/>
    <w:rsid w:val="00953502"/>
    <w:rsid w:val="0096075D"/>
    <w:rsid w:val="00962431"/>
    <w:rsid w:val="00964E18"/>
    <w:rsid w:val="00964EFB"/>
    <w:rsid w:val="009650A0"/>
    <w:rsid w:val="00966089"/>
    <w:rsid w:val="00966469"/>
    <w:rsid w:val="009672FE"/>
    <w:rsid w:val="00971B74"/>
    <w:rsid w:val="00972768"/>
    <w:rsid w:val="00977EEF"/>
    <w:rsid w:val="00980530"/>
    <w:rsid w:val="00985579"/>
    <w:rsid w:val="00990FB6"/>
    <w:rsid w:val="00993436"/>
    <w:rsid w:val="00995B98"/>
    <w:rsid w:val="009A0143"/>
    <w:rsid w:val="009A2324"/>
    <w:rsid w:val="009A3EE2"/>
    <w:rsid w:val="009B3EC0"/>
    <w:rsid w:val="009C2043"/>
    <w:rsid w:val="009C24CD"/>
    <w:rsid w:val="009C4C95"/>
    <w:rsid w:val="009C4D0B"/>
    <w:rsid w:val="009C52E2"/>
    <w:rsid w:val="009C5845"/>
    <w:rsid w:val="009C6F0E"/>
    <w:rsid w:val="009C7FB9"/>
    <w:rsid w:val="009D339B"/>
    <w:rsid w:val="009D5301"/>
    <w:rsid w:val="009E3232"/>
    <w:rsid w:val="009E4CBD"/>
    <w:rsid w:val="009E4F29"/>
    <w:rsid w:val="009E620D"/>
    <w:rsid w:val="009F02E9"/>
    <w:rsid w:val="009F2A3D"/>
    <w:rsid w:val="009F319E"/>
    <w:rsid w:val="009F4C51"/>
    <w:rsid w:val="009F4F40"/>
    <w:rsid w:val="00A0283D"/>
    <w:rsid w:val="00A034B0"/>
    <w:rsid w:val="00A03543"/>
    <w:rsid w:val="00A105B2"/>
    <w:rsid w:val="00A10C9F"/>
    <w:rsid w:val="00A11796"/>
    <w:rsid w:val="00A16220"/>
    <w:rsid w:val="00A1702C"/>
    <w:rsid w:val="00A176D9"/>
    <w:rsid w:val="00A21607"/>
    <w:rsid w:val="00A2194C"/>
    <w:rsid w:val="00A276FD"/>
    <w:rsid w:val="00A31CF8"/>
    <w:rsid w:val="00A32F13"/>
    <w:rsid w:val="00A32FC0"/>
    <w:rsid w:val="00A35643"/>
    <w:rsid w:val="00A36971"/>
    <w:rsid w:val="00A36DFA"/>
    <w:rsid w:val="00A41A75"/>
    <w:rsid w:val="00A464C8"/>
    <w:rsid w:val="00A57FA0"/>
    <w:rsid w:val="00A61BF3"/>
    <w:rsid w:val="00A64A7D"/>
    <w:rsid w:val="00A654C9"/>
    <w:rsid w:val="00A6555E"/>
    <w:rsid w:val="00A66764"/>
    <w:rsid w:val="00A747D3"/>
    <w:rsid w:val="00A75B66"/>
    <w:rsid w:val="00A83622"/>
    <w:rsid w:val="00A84335"/>
    <w:rsid w:val="00A84643"/>
    <w:rsid w:val="00A84979"/>
    <w:rsid w:val="00A85709"/>
    <w:rsid w:val="00A86367"/>
    <w:rsid w:val="00A873D9"/>
    <w:rsid w:val="00A92294"/>
    <w:rsid w:val="00A95434"/>
    <w:rsid w:val="00A969D6"/>
    <w:rsid w:val="00A97D04"/>
    <w:rsid w:val="00AA01B2"/>
    <w:rsid w:val="00AA06BA"/>
    <w:rsid w:val="00AA2ED7"/>
    <w:rsid w:val="00AA3DC5"/>
    <w:rsid w:val="00AA4D84"/>
    <w:rsid w:val="00AA60D9"/>
    <w:rsid w:val="00AB0A1F"/>
    <w:rsid w:val="00AB2831"/>
    <w:rsid w:val="00AB2F21"/>
    <w:rsid w:val="00AB4B06"/>
    <w:rsid w:val="00AB6675"/>
    <w:rsid w:val="00AC1198"/>
    <w:rsid w:val="00AC258F"/>
    <w:rsid w:val="00AC3DC9"/>
    <w:rsid w:val="00AC44C2"/>
    <w:rsid w:val="00AC5DFD"/>
    <w:rsid w:val="00AD4318"/>
    <w:rsid w:val="00AD48EA"/>
    <w:rsid w:val="00AD67D4"/>
    <w:rsid w:val="00AD7FAA"/>
    <w:rsid w:val="00AE46E2"/>
    <w:rsid w:val="00AE62C5"/>
    <w:rsid w:val="00AE638D"/>
    <w:rsid w:val="00AF1860"/>
    <w:rsid w:val="00B02937"/>
    <w:rsid w:val="00B06892"/>
    <w:rsid w:val="00B07A54"/>
    <w:rsid w:val="00B102DA"/>
    <w:rsid w:val="00B12BDB"/>
    <w:rsid w:val="00B243FC"/>
    <w:rsid w:val="00B324F1"/>
    <w:rsid w:val="00B35CBD"/>
    <w:rsid w:val="00B4246E"/>
    <w:rsid w:val="00B45F1A"/>
    <w:rsid w:val="00B5538C"/>
    <w:rsid w:val="00B60025"/>
    <w:rsid w:val="00B60A8A"/>
    <w:rsid w:val="00B61C40"/>
    <w:rsid w:val="00B63F84"/>
    <w:rsid w:val="00B646E6"/>
    <w:rsid w:val="00B671C1"/>
    <w:rsid w:val="00B672A0"/>
    <w:rsid w:val="00B717BA"/>
    <w:rsid w:val="00B734E2"/>
    <w:rsid w:val="00B73F22"/>
    <w:rsid w:val="00B74506"/>
    <w:rsid w:val="00B778E2"/>
    <w:rsid w:val="00B77AD0"/>
    <w:rsid w:val="00B816E2"/>
    <w:rsid w:val="00B90896"/>
    <w:rsid w:val="00B91470"/>
    <w:rsid w:val="00B91926"/>
    <w:rsid w:val="00BA7174"/>
    <w:rsid w:val="00BA75B0"/>
    <w:rsid w:val="00BA7722"/>
    <w:rsid w:val="00BB11CD"/>
    <w:rsid w:val="00BB228F"/>
    <w:rsid w:val="00BB355E"/>
    <w:rsid w:val="00BB5F69"/>
    <w:rsid w:val="00BB6FC6"/>
    <w:rsid w:val="00BC4752"/>
    <w:rsid w:val="00BD0078"/>
    <w:rsid w:val="00BD28A7"/>
    <w:rsid w:val="00BD366D"/>
    <w:rsid w:val="00BD38D5"/>
    <w:rsid w:val="00BD4C3B"/>
    <w:rsid w:val="00BD6A03"/>
    <w:rsid w:val="00BE0783"/>
    <w:rsid w:val="00BE0831"/>
    <w:rsid w:val="00BE335A"/>
    <w:rsid w:val="00BE4204"/>
    <w:rsid w:val="00BE56F0"/>
    <w:rsid w:val="00BE5D89"/>
    <w:rsid w:val="00BE66BF"/>
    <w:rsid w:val="00BE6752"/>
    <w:rsid w:val="00BF4ACE"/>
    <w:rsid w:val="00BF5857"/>
    <w:rsid w:val="00BF64F0"/>
    <w:rsid w:val="00C00437"/>
    <w:rsid w:val="00C00760"/>
    <w:rsid w:val="00C04FF0"/>
    <w:rsid w:val="00C1010C"/>
    <w:rsid w:val="00C10410"/>
    <w:rsid w:val="00C11B34"/>
    <w:rsid w:val="00C13C75"/>
    <w:rsid w:val="00C25C64"/>
    <w:rsid w:val="00C26777"/>
    <w:rsid w:val="00C3198D"/>
    <w:rsid w:val="00C422BB"/>
    <w:rsid w:val="00C43673"/>
    <w:rsid w:val="00C461F5"/>
    <w:rsid w:val="00C511B7"/>
    <w:rsid w:val="00C542A8"/>
    <w:rsid w:val="00C56CC7"/>
    <w:rsid w:val="00C57CD3"/>
    <w:rsid w:val="00C614A0"/>
    <w:rsid w:val="00C66A45"/>
    <w:rsid w:val="00C82BC2"/>
    <w:rsid w:val="00C83627"/>
    <w:rsid w:val="00C84271"/>
    <w:rsid w:val="00C87048"/>
    <w:rsid w:val="00CA039A"/>
    <w:rsid w:val="00CB032B"/>
    <w:rsid w:val="00CB306B"/>
    <w:rsid w:val="00CB6F03"/>
    <w:rsid w:val="00CB770C"/>
    <w:rsid w:val="00CC1233"/>
    <w:rsid w:val="00CC44FC"/>
    <w:rsid w:val="00CC46CC"/>
    <w:rsid w:val="00CC5C13"/>
    <w:rsid w:val="00CD0942"/>
    <w:rsid w:val="00CD2BBF"/>
    <w:rsid w:val="00CD627B"/>
    <w:rsid w:val="00CD6C53"/>
    <w:rsid w:val="00CE0E26"/>
    <w:rsid w:val="00CE2BB9"/>
    <w:rsid w:val="00CE62FB"/>
    <w:rsid w:val="00CF1013"/>
    <w:rsid w:val="00CF3624"/>
    <w:rsid w:val="00CF39C2"/>
    <w:rsid w:val="00D04C8B"/>
    <w:rsid w:val="00D060DC"/>
    <w:rsid w:val="00D14233"/>
    <w:rsid w:val="00D16CB4"/>
    <w:rsid w:val="00D17A17"/>
    <w:rsid w:val="00D207E0"/>
    <w:rsid w:val="00D21338"/>
    <w:rsid w:val="00D2392B"/>
    <w:rsid w:val="00D23966"/>
    <w:rsid w:val="00D26793"/>
    <w:rsid w:val="00D306EB"/>
    <w:rsid w:val="00D32335"/>
    <w:rsid w:val="00D33C71"/>
    <w:rsid w:val="00D369DA"/>
    <w:rsid w:val="00D41375"/>
    <w:rsid w:val="00D474E2"/>
    <w:rsid w:val="00D47B72"/>
    <w:rsid w:val="00D50C3B"/>
    <w:rsid w:val="00D510C9"/>
    <w:rsid w:val="00D51CA2"/>
    <w:rsid w:val="00D56265"/>
    <w:rsid w:val="00D5739E"/>
    <w:rsid w:val="00D60FA7"/>
    <w:rsid w:val="00D6309D"/>
    <w:rsid w:val="00D64465"/>
    <w:rsid w:val="00D704B4"/>
    <w:rsid w:val="00D73E7E"/>
    <w:rsid w:val="00D8142C"/>
    <w:rsid w:val="00D830BE"/>
    <w:rsid w:val="00D838D6"/>
    <w:rsid w:val="00D8453D"/>
    <w:rsid w:val="00D85E65"/>
    <w:rsid w:val="00D92320"/>
    <w:rsid w:val="00D92985"/>
    <w:rsid w:val="00D9318D"/>
    <w:rsid w:val="00D97473"/>
    <w:rsid w:val="00DA1AE8"/>
    <w:rsid w:val="00DA22F8"/>
    <w:rsid w:val="00DA25F5"/>
    <w:rsid w:val="00DA28C5"/>
    <w:rsid w:val="00DA3927"/>
    <w:rsid w:val="00DA59B2"/>
    <w:rsid w:val="00DA6A5D"/>
    <w:rsid w:val="00DA77F6"/>
    <w:rsid w:val="00DB0FF2"/>
    <w:rsid w:val="00DB350D"/>
    <w:rsid w:val="00DB4095"/>
    <w:rsid w:val="00DC3139"/>
    <w:rsid w:val="00DC3CCB"/>
    <w:rsid w:val="00DC6F9B"/>
    <w:rsid w:val="00DC7387"/>
    <w:rsid w:val="00DD02F2"/>
    <w:rsid w:val="00DD1A79"/>
    <w:rsid w:val="00DD4D8B"/>
    <w:rsid w:val="00DE0EFB"/>
    <w:rsid w:val="00DE2301"/>
    <w:rsid w:val="00DE65FC"/>
    <w:rsid w:val="00DF089D"/>
    <w:rsid w:val="00DF0C99"/>
    <w:rsid w:val="00DF1542"/>
    <w:rsid w:val="00DF1570"/>
    <w:rsid w:val="00DF185A"/>
    <w:rsid w:val="00DF648B"/>
    <w:rsid w:val="00DF7F6E"/>
    <w:rsid w:val="00E0492A"/>
    <w:rsid w:val="00E129B9"/>
    <w:rsid w:val="00E20F49"/>
    <w:rsid w:val="00E26997"/>
    <w:rsid w:val="00E3359E"/>
    <w:rsid w:val="00E33D3A"/>
    <w:rsid w:val="00E33DED"/>
    <w:rsid w:val="00E4049E"/>
    <w:rsid w:val="00E416BA"/>
    <w:rsid w:val="00E41E8A"/>
    <w:rsid w:val="00E44C38"/>
    <w:rsid w:val="00E4566F"/>
    <w:rsid w:val="00E466FD"/>
    <w:rsid w:val="00E50F3A"/>
    <w:rsid w:val="00E6071C"/>
    <w:rsid w:val="00E64691"/>
    <w:rsid w:val="00E65255"/>
    <w:rsid w:val="00E7224E"/>
    <w:rsid w:val="00E72A02"/>
    <w:rsid w:val="00E73514"/>
    <w:rsid w:val="00E73706"/>
    <w:rsid w:val="00E76707"/>
    <w:rsid w:val="00E7699B"/>
    <w:rsid w:val="00E81CA1"/>
    <w:rsid w:val="00E86137"/>
    <w:rsid w:val="00E8706F"/>
    <w:rsid w:val="00E8765F"/>
    <w:rsid w:val="00E908BD"/>
    <w:rsid w:val="00E90E66"/>
    <w:rsid w:val="00E94988"/>
    <w:rsid w:val="00EA1CA9"/>
    <w:rsid w:val="00EA1F8B"/>
    <w:rsid w:val="00EA362B"/>
    <w:rsid w:val="00EA3AE2"/>
    <w:rsid w:val="00EB35ED"/>
    <w:rsid w:val="00EB3C7D"/>
    <w:rsid w:val="00EB7878"/>
    <w:rsid w:val="00EC0CE4"/>
    <w:rsid w:val="00ED4B91"/>
    <w:rsid w:val="00ED6836"/>
    <w:rsid w:val="00EE09F3"/>
    <w:rsid w:val="00EE0B82"/>
    <w:rsid w:val="00EE41D4"/>
    <w:rsid w:val="00EF4A83"/>
    <w:rsid w:val="00EF5181"/>
    <w:rsid w:val="00EF7EE8"/>
    <w:rsid w:val="00EF7FF7"/>
    <w:rsid w:val="00F07C94"/>
    <w:rsid w:val="00F104B1"/>
    <w:rsid w:val="00F1579F"/>
    <w:rsid w:val="00F17A6C"/>
    <w:rsid w:val="00F20657"/>
    <w:rsid w:val="00F2347E"/>
    <w:rsid w:val="00F23E06"/>
    <w:rsid w:val="00F25A51"/>
    <w:rsid w:val="00F335E0"/>
    <w:rsid w:val="00F336E7"/>
    <w:rsid w:val="00F432F9"/>
    <w:rsid w:val="00F464A6"/>
    <w:rsid w:val="00F4705E"/>
    <w:rsid w:val="00F501A9"/>
    <w:rsid w:val="00F50355"/>
    <w:rsid w:val="00F52835"/>
    <w:rsid w:val="00F53071"/>
    <w:rsid w:val="00F53C05"/>
    <w:rsid w:val="00F54626"/>
    <w:rsid w:val="00F54867"/>
    <w:rsid w:val="00F54B98"/>
    <w:rsid w:val="00F57CB1"/>
    <w:rsid w:val="00F61E6B"/>
    <w:rsid w:val="00F63603"/>
    <w:rsid w:val="00F679B1"/>
    <w:rsid w:val="00F72B2E"/>
    <w:rsid w:val="00F72E19"/>
    <w:rsid w:val="00F73207"/>
    <w:rsid w:val="00F73BA9"/>
    <w:rsid w:val="00F75278"/>
    <w:rsid w:val="00F75759"/>
    <w:rsid w:val="00F817FE"/>
    <w:rsid w:val="00F81CA0"/>
    <w:rsid w:val="00F835DD"/>
    <w:rsid w:val="00F87EC8"/>
    <w:rsid w:val="00F92DEA"/>
    <w:rsid w:val="00F97AE3"/>
    <w:rsid w:val="00FA030E"/>
    <w:rsid w:val="00FA1C42"/>
    <w:rsid w:val="00FA21F9"/>
    <w:rsid w:val="00FA6F45"/>
    <w:rsid w:val="00FB087B"/>
    <w:rsid w:val="00FB37A3"/>
    <w:rsid w:val="00FB3892"/>
    <w:rsid w:val="00FB3D24"/>
    <w:rsid w:val="00FC02E4"/>
    <w:rsid w:val="00FC2A09"/>
    <w:rsid w:val="00FC507B"/>
    <w:rsid w:val="00FC7A22"/>
    <w:rsid w:val="00FD1FB5"/>
    <w:rsid w:val="00FD479C"/>
    <w:rsid w:val="00FD6944"/>
    <w:rsid w:val="00FD6D3F"/>
    <w:rsid w:val="00FE011C"/>
    <w:rsid w:val="00FE08D8"/>
    <w:rsid w:val="00FE44FC"/>
    <w:rsid w:val="00FE4842"/>
    <w:rsid w:val="00FE5936"/>
    <w:rsid w:val="00FE6FF2"/>
    <w:rsid w:val="00FF3FFD"/>
    <w:rsid w:val="467F8E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075B"/>
  <w15:docId w15:val="{B8CA91EE-476A-4205-ABE7-0A27B0EB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7B4D"/>
    <w:pPr>
      <w:spacing w:before="120" w:after="120"/>
    </w:pPr>
  </w:style>
  <w:style w:type="paragraph" w:styleId="Heading1">
    <w:name w:val="heading 1"/>
    <w:basedOn w:val="Normal"/>
    <w:next w:val="Normal"/>
    <w:link w:val="Heading1Char"/>
    <w:uiPriority w:val="9"/>
    <w:qFormat/>
    <w:rsid w:val="00012598"/>
    <w:pPr>
      <w:keepNext/>
      <w:keepLines/>
      <w:spacing w:before="240"/>
      <w:outlineLvl w:val="0"/>
    </w:pPr>
    <w:rPr>
      <w:rFonts w:asciiTheme="majorHAnsi" w:eastAsiaTheme="majorEastAsia" w:hAnsiTheme="majorHAnsi" w:cstheme="majorBidi"/>
      <w:b/>
      <w:bCs/>
      <w:color w:val="005B9A" w:themeColor="accent1"/>
      <w:sz w:val="48"/>
      <w:szCs w:val="68"/>
    </w:rPr>
  </w:style>
  <w:style w:type="paragraph" w:styleId="Heading2">
    <w:name w:val="heading 2"/>
    <w:basedOn w:val="Normal"/>
    <w:next w:val="Normal"/>
    <w:link w:val="Heading2Char"/>
    <w:uiPriority w:val="9"/>
    <w:unhideWhenUsed/>
    <w:qFormat/>
    <w:rsid w:val="00012598"/>
    <w:pPr>
      <w:keepNext/>
      <w:keepLines/>
      <w:spacing w:before="480"/>
      <w:outlineLvl w:val="1"/>
    </w:pPr>
    <w:rPr>
      <w:rFonts w:asciiTheme="majorHAnsi" w:eastAsiaTheme="majorEastAsia" w:hAnsiTheme="majorHAnsi" w:cstheme="majorBidi"/>
      <w:b/>
      <w:bCs/>
      <w:color w:val="005B9A" w:themeColor="accent1"/>
      <w:sz w:val="40"/>
      <w:szCs w:val="48"/>
    </w:rPr>
  </w:style>
  <w:style w:type="paragraph" w:styleId="Heading3">
    <w:name w:val="heading 3"/>
    <w:basedOn w:val="Normal"/>
    <w:next w:val="Normal"/>
    <w:link w:val="Heading3Char"/>
    <w:uiPriority w:val="9"/>
    <w:unhideWhenUsed/>
    <w:qFormat/>
    <w:rsid w:val="0086375D"/>
    <w:pPr>
      <w:keepNext/>
      <w:keepLines/>
      <w:spacing w:before="240"/>
      <w:outlineLvl w:val="2"/>
    </w:pPr>
    <w:rPr>
      <w:rFonts w:asciiTheme="majorHAnsi" w:eastAsiaTheme="majorEastAsia" w:hAnsiTheme="majorHAnsi" w:cstheme="majorBidi"/>
      <w:color w:val="005B9A" w:themeColor="accent1"/>
      <w:sz w:val="36"/>
      <w:szCs w:val="36"/>
    </w:rPr>
  </w:style>
  <w:style w:type="paragraph" w:styleId="Heading4">
    <w:name w:val="heading 4"/>
    <w:basedOn w:val="Normal"/>
    <w:next w:val="Normal"/>
    <w:link w:val="Heading4Char"/>
    <w:uiPriority w:val="9"/>
    <w:unhideWhenUsed/>
    <w:qFormat/>
    <w:rsid w:val="0086375D"/>
    <w:pPr>
      <w:keepNext/>
      <w:keepLines/>
      <w:outlineLvl w:val="3"/>
    </w:pPr>
    <w:rPr>
      <w:rFonts w:asciiTheme="majorHAnsi" w:eastAsiaTheme="majorEastAsia" w:hAnsiTheme="majorHAnsi" w:cstheme="majorBidi"/>
      <w:b/>
      <w:bCs/>
      <w:i/>
      <w:iCs/>
      <w:color w:val="005B9A" w:themeColor="accent1"/>
      <w:sz w:val="28"/>
      <w:szCs w:val="28"/>
    </w:rPr>
  </w:style>
  <w:style w:type="paragraph" w:styleId="Heading5">
    <w:name w:val="heading 5"/>
    <w:basedOn w:val="Normal"/>
    <w:next w:val="Normal"/>
    <w:link w:val="Heading5Char"/>
    <w:uiPriority w:val="9"/>
    <w:unhideWhenUsed/>
    <w:qFormat/>
    <w:rsid w:val="0086375D"/>
    <w:pPr>
      <w:keepNext/>
      <w:keepLines/>
      <w:outlineLvl w:val="4"/>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005B9A"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012598"/>
    <w:rPr>
      <w:rFonts w:asciiTheme="majorHAnsi" w:eastAsiaTheme="majorEastAsia" w:hAnsiTheme="majorHAnsi" w:cstheme="majorBidi"/>
      <w:b/>
      <w:bCs/>
      <w:color w:val="005B9A" w:themeColor="accent1"/>
      <w:sz w:val="40"/>
      <w:szCs w:val="48"/>
    </w:rPr>
  </w:style>
  <w:style w:type="paragraph" w:styleId="Subtitle">
    <w:name w:val="Subtitle"/>
    <w:basedOn w:val="Normal"/>
    <w:next w:val="Normal"/>
    <w:link w:val="SubtitleChar"/>
    <w:uiPriority w:val="11"/>
    <w:qFormat/>
    <w:rsid w:val="002361D9"/>
    <w:pPr>
      <w:numPr>
        <w:ilvl w:val="1"/>
      </w:numPr>
      <w:spacing w:before="480"/>
    </w:pPr>
    <w:rPr>
      <w:rFonts w:eastAsiaTheme="minorEastAsia"/>
      <w:color w:val="000000" w:themeColor="text1"/>
      <w:spacing w:val="15"/>
      <w:sz w:val="36"/>
      <w:szCs w:val="22"/>
    </w:rPr>
  </w:style>
  <w:style w:type="character" w:customStyle="1" w:styleId="SubtitleChar">
    <w:name w:val="Subtitle Char"/>
    <w:basedOn w:val="DefaultParagraphFont"/>
    <w:link w:val="Subtitle"/>
    <w:uiPriority w:val="11"/>
    <w:rsid w:val="002361D9"/>
    <w:rPr>
      <w:rFonts w:eastAsiaTheme="minorEastAsia"/>
      <w:color w:val="000000" w:themeColor="text1"/>
      <w:spacing w:val="15"/>
      <w:sz w:val="36"/>
      <w:szCs w:val="22"/>
    </w:rPr>
  </w:style>
  <w:style w:type="paragraph" w:styleId="Title">
    <w:name w:val="Title"/>
    <w:basedOn w:val="Normal"/>
    <w:next w:val="Normal"/>
    <w:link w:val="TitleChar"/>
    <w:uiPriority w:val="10"/>
    <w:qFormat/>
    <w:rsid w:val="00BA7722"/>
    <w:pPr>
      <w:spacing w:before="0"/>
      <w:contextualSpacing/>
    </w:pPr>
    <w:rPr>
      <w:rFonts w:asciiTheme="majorHAnsi" w:eastAsiaTheme="majorEastAsia" w:hAnsiTheme="majorHAnsi" w:cstheme="majorBidi"/>
      <w:b/>
      <w:bCs/>
      <w:color w:val="005B9A" w:themeColor="accent1"/>
      <w:spacing w:val="-10"/>
      <w:kern w:val="28"/>
      <w:sz w:val="84"/>
      <w:szCs w:val="84"/>
    </w:rPr>
  </w:style>
  <w:style w:type="character" w:customStyle="1" w:styleId="TitleChar">
    <w:name w:val="Title Char"/>
    <w:basedOn w:val="DefaultParagraphFont"/>
    <w:link w:val="Title"/>
    <w:uiPriority w:val="10"/>
    <w:rsid w:val="00BA7722"/>
    <w:rPr>
      <w:rFonts w:asciiTheme="majorHAnsi" w:eastAsiaTheme="majorEastAsia" w:hAnsiTheme="majorHAnsi" w:cstheme="majorBidi"/>
      <w:b/>
      <w:bCs/>
      <w:color w:val="005B9A" w:themeColor="accent1"/>
      <w:spacing w:val="-10"/>
      <w:kern w:val="28"/>
      <w:sz w:val="84"/>
      <w:szCs w:val="84"/>
    </w:rPr>
  </w:style>
  <w:style w:type="character" w:styleId="PageNumber">
    <w:name w:val="page number"/>
    <w:basedOn w:val="DefaultParagraphFont"/>
    <w:uiPriority w:val="99"/>
    <w:semiHidden/>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012598"/>
    <w:rPr>
      <w:rFonts w:asciiTheme="majorHAnsi" w:eastAsiaTheme="majorEastAsia" w:hAnsiTheme="majorHAnsi" w:cstheme="majorBidi"/>
      <w:b/>
      <w:bCs/>
      <w:color w:val="005B9A" w:themeColor="accent1"/>
      <w:sz w:val="48"/>
      <w:szCs w:val="68"/>
    </w:rPr>
  </w:style>
  <w:style w:type="character" w:customStyle="1" w:styleId="Heading3Char">
    <w:name w:val="Heading 3 Char"/>
    <w:basedOn w:val="DefaultParagraphFont"/>
    <w:link w:val="Heading3"/>
    <w:uiPriority w:val="9"/>
    <w:rsid w:val="0086375D"/>
    <w:rPr>
      <w:rFonts w:asciiTheme="majorHAnsi" w:eastAsiaTheme="majorEastAsia" w:hAnsiTheme="majorHAnsi" w:cstheme="majorBidi"/>
      <w:color w:val="005B9A" w:themeColor="accent1"/>
      <w:sz w:val="36"/>
      <w:szCs w:val="36"/>
    </w:rPr>
  </w:style>
  <w:style w:type="character" w:customStyle="1" w:styleId="Heading4Char">
    <w:name w:val="Heading 4 Char"/>
    <w:basedOn w:val="DefaultParagraphFont"/>
    <w:link w:val="Heading4"/>
    <w:uiPriority w:val="9"/>
    <w:rsid w:val="0086375D"/>
    <w:rPr>
      <w:rFonts w:asciiTheme="majorHAnsi" w:eastAsiaTheme="majorEastAsia" w:hAnsiTheme="majorHAnsi" w:cstheme="majorBidi"/>
      <w:b/>
      <w:bCs/>
      <w:i/>
      <w:iCs/>
      <w:color w:val="005B9A" w:themeColor="accent1"/>
      <w:sz w:val="28"/>
      <w:szCs w:val="28"/>
    </w:rPr>
  </w:style>
  <w:style w:type="character" w:customStyle="1" w:styleId="Heading5Char">
    <w:name w:val="Heading 5 Char"/>
    <w:basedOn w:val="DefaultParagraphFont"/>
    <w:link w:val="Heading5"/>
    <w:uiPriority w:val="9"/>
    <w:rsid w:val="0086375D"/>
    <w:rPr>
      <w:rFonts w:asciiTheme="majorHAnsi" w:eastAsiaTheme="majorEastAsia" w:hAnsiTheme="majorHAnsi" w:cstheme="majorBidi"/>
      <w:b/>
      <w:bCs/>
      <w:color w:val="000000" w:themeColor="text1"/>
    </w:rPr>
  </w:style>
  <w:style w:type="paragraph" w:styleId="ListParagraph">
    <w:name w:val="List Paragraph"/>
    <w:basedOn w:val="Normal"/>
    <w:uiPriority w:val="1"/>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244093"/>
    <w:pPr>
      <w:spacing w:before="280" w:after="480"/>
    </w:pPr>
    <w:rPr>
      <w:rFonts w:cs="Times New Roman (Body CS)"/>
      <w:iCs/>
      <w:color w:val="005B9A" w:themeColor="accent1"/>
      <w:sz w:val="32"/>
      <w:lang w:val="en-AU"/>
    </w:rPr>
  </w:style>
  <w:style w:type="character" w:customStyle="1" w:styleId="QuoteChar">
    <w:name w:val="Quote Char"/>
    <w:aliases w:val="Intro Text Char"/>
    <w:basedOn w:val="DefaultParagraphFont"/>
    <w:link w:val="Quote"/>
    <w:uiPriority w:val="29"/>
    <w:rsid w:val="00244093"/>
    <w:rPr>
      <w:rFonts w:cs="Times New Roman (Body CS)"/>
      <w:iCs/>
      <w:color w:val="005B9A" w:themeColor="accent1"/>
      <w:sz w:val="32"/>
      <w:lang w:val="en-AU"/>
    </w:rPr>
  </w:style>
  <w:style w:type="paragraph" w:styleId="IntenseQuote">
    <w:name w:val="Intense Quote"/>
    <w:aliases w:val="Pullout quote"/>
    <w:basedOn w:val="Normal"/>
    <w:next w:val="Normal"/>
    <w:link w:val="IntenseQuoteChar"/>
    <w:uiPriority w:val="30"/>
    <w:qFormat/>
    <w:rsid w:val="0086375D"/>
    <w:pPr>
      <w:pBdr>
        <w:top w:val="single" w:sz="4" w:space="7" w:color="1D374B" w:themeColor="text2"/>
        <w:bottom w:val="single" w:sz="4" w:space="7" w:color="1D374B" w:themeColor="text2"/>
      </w:pBdr>
      <w:spacing w:before="480" w:after="360" w:line="360" w:lineRule="exact"/>
      <w:jc w:val="center"/>
    </w:pPr>
    <w:rPr>
      <w:rFonts w:cs="Times New Roman (Body CS)"/>
      <w:i/>
      <w:iCs/>
      <w:color w:val="1D374B" w:themeColor="text2"/>
      <w:sz w:val="32"/>
      <w:szCs w:val="32"/>
      <w:lang w:val="en-AU"/>
    </w:rPr>
  </w:style>
  <w:style w:type="character" w:customStyle="1" w:styleId="IntenseQuoteChar">
    <w:name w:val="Intense Quote Char"/>
    <w:aliases w:val="Pullout quote Char"/>
    <w:basedOn w:val="DefaultParagraphFont"/>
    <w:link w:val="IntenseQuote"/>
    <w:uiPriority w:val="30"/>
    <w:rsid w:val="0086375D"/>
    <w:rPr>
      <w:rFonts w:cs="Times New Roman (Body CS)"/>
      <w:i/>
      <w:iCs/>
      <w:color w:val="1D374B" w:themeColor="text2"/>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qFormat/>
    <w:rsid w:val="00D26793"/>
    <w:rPr>
      <w:i/>
      <w:iCs/>
      <w:color w:val="1D374B" w:themeColor="text2"/>
    </w:rPr>
  </w:style>
  <w:style w:type="paragraph" w:styleId="TOCHeading">
    <w:name w:val="TOC Heading"/>
    <w:basedOn w:val="Heading1"/>
    <w:next w:val="Normal"/>
    <w:uiPriority w:val="39"/>
    <w:unhideWhenUsed/>
    <w:qFormat/>
    <w:rsid w:val="0086375D"/>
    <w:pPr>
      <w:spacing w:before="60" w:after="200"/>
      <w:contextualSpacing/>
      <w:outlineLvl w:val="9"/>
    </w:pPr>
    <w:rPr>
      <w:bCs w:val="0"/>
      <w:lang w:val="en-AU"/>
    </w:rPr>
  </w:style>
  <w:style w:type="paragraph" w:styleId="TOC1">
    <w:name w:val="toc 1"/>
    <w:basedOn w:val="Normal"/>
    <w:next w:val="Normal"/>
    <w:autoRedefine/>
    <w:uiPriority w:val="39"/>
    <w:unhideWhenUsed/>
    <w:qFormat/>
    <w:rsid w:val="00164658"/>
    <w:pPr>
      <w:tabs>
        <w:tab w:val="right" w:pos="9060"/>
      </w:tabs>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76BD"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qFormat/>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1"/>
    <w:unhideWhenUsed/>
    <w:qFormat/>
    <w:rsid w:val="00072EE0"/>
    <w:pPr>
      <w:tabs>
        <w:tab w:val="right" w:pos="9060"/>
      </w:tabs>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96802"/>
    <w:pPr>
      <w:tabs>
        <w:tab w:val="right" w:pos="9060"/>
      </w:tabs>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007479" w:themeColor="accent5"/>
        <w:left w:val="single" w:sz="4" w:space="0" w:color="007479" w:themeColor="accent5"/>
        <w:bottom w:val="single" w:sz="4" w:space="0" w:color="007479" w:themeColor="accent5"/>
        <w:right w:val="single" w:sz="4" w:space="0" w:color="007479" w:themeColor="accent5"/>
      </w:tblBorders>
    </w:tblPr>
    <w:tblStylePr w:type="firstRow">
      <w:rPr>
        <w:b/>
        <w:bCs/>
        <w:color w:val="FFFFFF" w:themeColor="background1"/>
      </w:rPr>
      <w:tblPr/>
      <w:tcPr>
        <w:shd w:val="clear" w:color="auto" w:fill="007479" w:themeFill="accent5"/>
      </w:tcPr>
    </w:tblStylePr>
    <w:tblStylePr w:type="lastRow">
      <w:rPr>
        <w:b/>
        <w:bCs/>
      </w:rPr>
      <w:tblPr/>
      <w:tcPr>
        <w:tcBorders>
          <w:top w:val="double" w:sz="4" w:space="0" w:color="00747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79" w:themeColor="accent5"/>
          <w:right w:val="single" w:sz="4" w:space="0" w:color="007479" w:themeColor="accent5"/>
        </w:tcBorders>
      </w:tcPr>
    </w:tblStylePr>
    <w:tblStylePr w:type="band1Horz">
      <w:tblPr/>
      <w:tcPr>
        <w:tcBorders>
          <w:top w:val="single" w:sz="4" w:space="0" w:color="007479" w:themeColor="accent5"/>
          <w:bottom w:val="single" w:sz="4" w:space="0" w:color="00747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79" w:themeColor="accent5"/>
          <w:left w:val="nil"/>
        </w:tcBorders>
      </w:tcPr>
    </w:tblStylePr>
    <w:tblStylePr w:type="swCell">
      <w:tblPr/>
      <w:tcPr>
        <w:tcBorders>
          <w:top w:val="double" w:sz="4" w:space="0" w:color="007479"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005B9A" w:themeColor="accent1"/>
        <w:left w:val="single" w:sz="4" w:space="0" w:color="005B9A" w:themeColor="accent1"/>
        <w:bottom w:val="single" w:sz="4" w:space="0" w:color="005B9A" w:themeColor="accent1"/>
        <w:right w:val="single" w:sz="4" w:space="0" w:color="005B9A" w:themeColor="accent1"/>
      </w:tblBorders>
    </w:tblPr>
    <w:tblStylePr w:type="firstRow">
      <w:rPr>
        <w:b/>
        <w:bCs/>
        <w:color w:val="FFFFFF" w:themeColor="background1"/>
      </w:rPr>
      <w:tblPr/>
      <w:tcPr>
        <w:shd w:val="clear" w:color="auto" w:fill="005B9A" w:themeFill="accent1"/>
      </w:tcPr>
    </w:tblStylePr>
    <w:tblStylePr w:type="lastRow">
      <w:rPr>
        <w:b/>
        <w:bCs/>
      </w:rPr>
      <w:tblPr/>
      <w:tcPr>
        <w:tcBorders>
          <w:top w:val="double" w:sz="4" w:space="0" w:color="005B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9A" w:themeColor="accent1"/>
          <w:right w:val="single" w:sz="4" w:space="0" w:color="005B9A" w:themeColor="accent1"/>
        </w:tcBorders>
      </w:tcPr>
    </w:tblStylePr>
    <w:tblStylePr w:type="band1Horz">
      <w:tblPr/>
      <w:tcPr>
        <w:tcBorders>
          <w:top w:val="single" w:sz="4" w:space="0" w:color="005B9A" w:themeColor="accent1"/>
          <w:bottom w:val="single" w:sz="4" w:space="0" w:color="005B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9A" w:themeColor="accent1"/>
          <w:left w:val="nil"/>
        </w:tcBorders>
      </w:tcPr>
    </w:tblStylePr>
    <w:tblStylePr w:type="swCell">
      <w:tblPr/>
      <w:tcPr>
        <w:tcBorders>
          <w:top w:val="double" w:sz="4" w:space="0" w:color="005B9A" w:themeColor="accent1"/>
          <w:right w:val="nil"/>
        </w:tcBorders>
      </w:tcPr>
    </w:tblStylePr>
  </w:style>
  <w:style w:type="paragraph" w:styleId="BodyText">
    <w:name w:val="Body Text"/>
    <w:basedOn w:val="Normal"/>
    <w:link w:val="BodyTextChar"/>
    <w:uiPriority w:val="1"/>
    <w:qFormat/>
    <w:rsid w:val="0058387C"/>
    <w:pPr>
      <w:widowControl w:val="0"/>
      <w:autoSpaceDE w:val="0"/>
      <w:autoSpaceDN w:val="0"/>
      <w:spacing w:before="0" w:after="0"/>
    </w:pPr>
    <w:rPr>
      <w:rFonts w:ascii="Arial" w:eastAsia="Arial" w:hAnsi="Arial" w:cs="Arial"/>
      <w:sz w:val="22"/>
      <w:szCs w:val="22"/>
      <w:lang w:val="en-AU"/>
    </w:rPr>
  </w:style>
  <w:style w:type="character" w:customStyle="1" w:styleId="BodyTextChar">
    <w:name w:val="Body Text Char"/>
    <w:basedOn w:val="DefaultParagraphFont"/>
    <w:link w:val="BodyText"/>
    <w:uiPriority w:val="1"/>
    <w:rsid w:val="0058387C"/>
    <w:rPr>
      <w:rFonts w:ascii="Arial" w:eastAsia="Arial" w:hAnsi="Arial" w:cs="Arial"/>
      <w:sz w:val="22"/>
      <w:szCs w:val="22"/>
      <w:lang w:val="en-AU"/>
    </w:rPr>
  </w:style>
  <w:style w:type="table" w:styleId="TableGrid">
    <w:name w:val="Table Grid"/>
    <w:basedOn w:val="TableNormal"/>
    <w:uiPriority w:val="39"/>
    <w:rsid w:val="0058387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926"/>
  </w:style>
  <w:style w:type="paragraph" w:customStyle="1" w:styleId="paragraph">
    <w:name w:val="paragraph"/>
    <w:basedOn w:val="Normal"/>
    <w:rsid w:val="00561CF1"/>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561CF1"/>
  </w:style>
  <w:style w:type="character" w:customStyle="1" w:styleId="eop">
    <w:name w:val="eop"/>
    <w:basedOn w:val="DefaultParagraphFont"/>
    <w:rsid w:val="00561CF1"/>
  </w:style>
  <w:style w:type="character" w:styleId="CommentReference">
    <w:name w:val="annotation reference"/>
    <w:basedOn w:val="DefaultParagraphFont"/>
    <w:uiPriority w:val="99"/>
    <w:semiHidden/>
    <w:unhideWhenUsed/>
    <w:rsid w:val="008F5A2D"/>
    <w:rPr>
      <w:sz w:val="16"/>
      <w:szCs w:val="16"/>
    </w:rPr>
  </w:style>
  <w:style w:type="paragraph" w:styleId="CommentText">
    <w:name w:val="annotation text"/>
    <w:basedOn w:val="Normal"/>
    <w:link w:val="CommentTextChar"/>
    <w:uiPriority w:val="99"/>
    <w:unhideWhenUsed/>
    <w:rsid w:val="008F5A2D"/>
    <w:rPr>
      <w:sz w:val="20"/>
      <w:szCs w:val="20"/>
    </w:rPr>
  </w:style>
  <w:style w:type="character" w:customStyle="1" w:styleId="CommentTextChar">
    <w:name w:val="Comment Text Char"/>
    <w:basedOn w:val="DefaultParagraphFont"/>
    <w:link w:val="CommentText"/>
    <w:uiPriority w:val="99"/>
    <w:rsid w:val="008F5A2D"/>
    <w:rPr>
      <w:sz w:val="20"/>
      <w:szCs w:val="20"/>
    </w:rPr>
  </w:style>
  <w:style w:type="paragraph" w:styleId="CommentSubject">
    <w:name w:val="annotation subject"/>
    <w:basedOn w:val="CommentText"/>
    <w:next w:val="CommentText"/>
    <w:link w:val="CommentSubjectChar"/>
    <w:uiPriority w:val="99"/>
    <w:semiHidden/>
    <w:unhideWhenUsed/>
    <w:rsid w:val="008F5A2D"/>
    <w:rPr>
      <w:b/>
      <w:bCs/>
    </w:rPr>
  </w:style>
  <w:style w:type="character" w:customStyle="1" w:styleId="CommentSubjectChar">
    <w:name w:val="Comment Subject Char"/>
    <w:basedOn w:val="CommentTextChar"/>
    <w:link w:val="CommentSubject"/>
    <w:uiPriority w:val="99"/>
    <w:semiHidden/>
    <w:rsid w:val="008F5A2D"/>
    <w:rPr>
      <w:b/>
      <w:bCs/>
      <w:sz w:val="20"/>
      <w:szCs w:val="20"/>
    </w:rPr>
  </w:style>
  <w:style w:type="character" w:styleId="UnresolvedMention">
    <w:name w:val="Unresolved Mention"/>
    <w:basedOn w:val="DefaultParagraphFont"/>
    <w:uiPriority w:val="99"/>
    <w:rsid w:val="00860456"/>
    <w:rPr>
      <w:color w:val="605E5C"/>
      <w:shd w:val="clear" w:color="auto" w:fill="E1DFDD"/>
    </w:rPr>
  </w:style>
  <w:style w:type="paragraph" w:customStyle="1" w:styleId="Default">
    <w:name w:val="Default"/>
    <w:rsid w:val="005B0C9A"/>
    <w:pPr>
      <w:autoSpaceDE w:val="0"/>
      <w:autoSpaceDN w:val="0"/>
      <w:adjustRightInd w:val="0"/>
    </w:pPr>
    <w:rPr>
      <w:rFonts w:ascii="Gill Sans MT" w:hAnsi="Gill Sans MT" w:cs="Gill Sans MT"/>
      <w:color w:val="000000"/>
      <w:lang w:val="en-US"/>
    </w:rPr>
  </w:style>
  <w:style w:type="character" w:styleId="Strong">
    <w:name w:val="Strong"/>
    <w:basedOn w:val="DefaultParagraphFont"/>
    <w:uiPriority w:val="22"/>
    <w:qFormat/>
    <w:rsid w:val="005B0C9A"/>
    <w:rPr>
      <w:b/>
      <w:bCs/>
    </w:rPr>
  </w:style>
  <w:style w:type="paragraph" w:customStyle="1" w:styleId="TableParagraph">
    <w:name w:val="Table Paragraph"/>
    <w:basedOn w:val="Normal"/>
    <w:uiPriority w:val="1"/>
    <w:qFormat/>
    <w:rsid w:val="005B0C9A"/>
    <w:pPr>
      <w:widowControl w:val="0"/>
      <w:autoSpaceDE w:val="0"/>
      <w:autoSpaceDN w:val="0"/>
      <w:spacing w:before="127" w:after="0"/>
      <w:ind w:left="105"/>
    </w:pPr>
    <w:rPr>
      <w:rFonts w:ascii="Arial" w:eastAsia="Arial"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14508">
      <w:bodyDiv w:val="1"/>
      <w:marLeft w:val="0"/>
      <w:marRight w:val="0"/>
      <w:marTop w:val="0"/>
      <w:marBottom w:val="0"/>
      <w:divBdr>
        <w:top w:val="none" w:sz="0" w:space="0" w:color="auto"/>
        <w:left w:val="none" w:sz="0" w:space="0" w:color="auto"/>
        <w:bottom w:val="none" w:sz="0" w:space="0" w:color="auto"/>
        <w:right w:val="none" w:sz="0" w:space="0" w:color="auto"/>
      </w:divBdr>
      <w:divsChild>
        <w:div w:id="144514584">
          <w:marLeft w:val="0"/>
          <w:marRight w:val="0"/>
          <w:marTop w:val="0"/>
          <w:marBottom w:val="0"/>
          <w:divBdr>
            <w:top w:val="none" w:sz="0" w:space="0" w:color="auto"/>
            <w:left w:val="none" w:sz="0" w:space="0" w:color="auto"/>
            <w:bottom w:val="none" w:sz="0" w:space="0" w:color="auto"/>
            <w:right w:val="none" w:sz="0" w:space="0" w:color="auto"/>
          </w:divBdr>
        </w:div>
        <w:div w:id="147525131">
          <w:marLeft w:val="0"/>
          <w:marRight w:val="0"/>
          <w:marTop w:val="0"/>
          <w:marBottom w:val="0"/>
          <w:divBdr>
            <w:top w:val="none" w:sz="0" w:space="0" w:color="auto"/>
            <w:left w:val="none" w:sz="0" w:space="0" w:color="auto"/>
            <w:bottom w:val="none" w:sz="0" w:space="0" w:color="auto"/>
            <w:right w:val="none" w:sz="0" w:space="0" w:color="auto"/>
          </w:divBdr>
        </w:div>
        <w:div w:id="381293146">
          <w:marLeft w:val="0"/>
          <w:marRight w:val="0"/>
          <w:marTop w:val="0"/>
          <w:marBottom w:val="0"/>
          <w:divBdr>
            <w:top w:val="none" w:sz="0" w:space="0" w:color="auto"/>
            <w:left w:val="none" w:sz="0" w:space="0" w:color="auto"/>
            <w:bottom w:val="none" w:sz="0" w:space="0" w:color="auto"/>
            <w:right w:val="none" w:sz="0" w:space="0" w:color="auto"/>
          </w:divBdr>
        </w:div>
        <w:div w:id="441999704">
          <w:marLeft w:val="0"/>
          <w:marRight w:val="0"/>
          <w:marTop w:val="0"/>
          <w:marBottom w:val="0"/>
          <w:divBdr>
            <w:top w:val="none" w:sz="0" w:space="0" w:color="auto"/>
            <w:left w:val="none" w:sz="0" w:space="0" w:color="auto"/>
            <w:bottom w:val="none" w:sz="0" w:space="0" w:color="auto"/>
            <w:right w:val="none" w:sz="0" w:space="0" w:color="auto"/>
          </w:divBdr>
        </w:div>
        <w:div w:id="460225335">
          <w:marLeft w:val="0"/>
          <w:marRight w:val="0"/>
          <w:marTop w:val="0"/>
          <w:marBottom w:val="0"/>
          <w:divBdr>
            <w:top w:val="none" w:sz="0" w:space="0" w:color="auto"/>
            <w:left w:val="none" w:sz="0" w:space="0" w:color="auto"/>
            <w:bottom w:val="none" w:sz="0" w:space="0" w:color="auto"/>
            <w:right w:val="none" w:sz="0" w:space="0" w:color="auto"/>
          </w:divBdr>
        </w:div>
        <w:div w:id="557016569">
          <w:marLeft w:val="0"/>
          <w:marRight w:val="0"/>
          <w:marTop w:val="0"/>
          <w:marBottom w:val="0"/>
          <w:divBdr>
            <w:top w:val="none" w:sz="0" w:space="0" w:color="auto"/>
            <w:left w:val="none" w:sz="0" w:space="0" w:color="auto"/>
            <w:bottom w:val="none" w:sz="0" w:space="0" w:color="auto"/>
            <w:right w:val="none" w:sz="0" w:space="0" w:color="auto"/>
          </w:divBdr>
        </w:div>
        <w:div w:id="617293922">
          <w:marLeft w:val="0"/>
          <w:marRight w:val="0"/>
          <w:marTop w:val="0"/>
          <w:marBottom w:val="0"/>
          <w:divBdr>
            <w:top w:val="none" w:sz="0" w:space="0" w:color="auto"/>
            <w:left w:val="none" w:sz="0" w:space="0" w:color="auto"/>
            <w:bottom w:val="none" w:sz="0" w:space="0" w:color="auto"/>
            <w:right w:val="none" w:sz="0" w:space="0" w:color="auto"/>
          </w:divBdr>
        </w:div>
        <w:div w:id="713891072">
          <w:marLeft w:val="0"/>
          <w:marRight w:val="0"/>
          <w:marTop w:val="0"/>
          <w:marBottom w:val="0"/>
          <w:divBdr>
            <w:top w:val="none" w:sz="0" w:space="0" w:color="auto"/>
            <w:left w:val="none" w:sz="0" w:space="0" w:color="auto"/>
            <w:bottom w:val="none" w:sz="0" w:space="0" w:color="auto"/>
            <w:right w:val="none" w:sz="0" w:space="0" w:color="auto"/>
          </w:divBdr>
        </w:div>
        <w:div w:id="718668100">
          <w:marLeft w:val="0"/>
          <w:marRight w:val="0"/>
          <w:marTop w:val="0"/>
          <w:marBottom w:val="0"/>
          <w:divBdr>
            <w:top w:val="none" w:sz="0" w:space="0" w:color="auto"/>
            <w:left w:val="none" w:sz="0" w:space="0" w:color="auto"/>
            <w:bottom w:val="none" w:sz="0" w:space="0" w:color="auto"/>
            <w:right w:val="none" w:sz="0" w:space="0" w:color="auto"/>
          </w:divBdr>
        </w:div>
        <w:div w:id="952634270">
          <w:marLeft w:val="0"/>
          <w:marRight w:val="0"/>
          <w:marTop w:val="0"/>
          <w:marBottom w:val="0"/>
          <w:divBdr>
            <w:top w:val="none" w:sz="0" w:space="0" w:color="auto"/>
            <w:left w:val="none" w:sz="0" w:space="0" w:color="auto"/>
            <w:bottom w:val="none" w:sz="0" w:space="0" w:color="auto"/>
            <w:right w:val="none" w:sz="0" w:space="0" w:color="auto"/>
          </w:divBdr>
        </w:div>
        <w:div w:id="991830446">
          <w:marLeft w:val="0"/>
          <w:marRight w:val="0"/>
          <w:marTop w:val="0"/>
          <w:marBottom w:val="0"/>
          <w:divBdr>
            <w:top w:val="none" w:sz="0" w:space="0" w:color="auto"/>
            <w:left w:val="none" w:sz="0" w:space="0" w:color="auto"/>
            <w:bottom w:val="none" w:sz="0" w:space="0" w:color="auto"/>
            <w:right w:val="none" w:sz="0" w:space="0" w:color="auto"/>
          </w:divBdr>
        </w:div>
        <w:div w:id="1315139372">
          <w:marLeft w:val="0"/>
          <w:marRight w:val="0"/>
          <w:marTop w:val="0"/>
          <w:marBottom w:val="0"/>
          <w:divBdr>
            <w:top w:val="none" w:sz="0" w:space="0" w:color="auto"/>
            <w:left w:val="none" w:sz="0" w:space="0" w:color="auto"/>
            <w:bottom w:val="none" w:sz="0" w:space="0" w:color="auto"/>
            <w:right w:val="none" w:sz="0" w:space="0" w:color="auto"/>
          </w:divBdr>
        </w:div>
        <w:div w:id="1333338022">
          <w:marLeft w:val="0"/>
          <w:marRight w:val="0"/>
          <w:marTop w:val="0"/>
          <w:marBottom w:val="0"/>
          <w:divBdr>
            <w:top w:val="none" w:sz="0" w:space="0" w:color="auto"/>
            <w:left w:val="none" w:sz="0" w:space="0" w:color="auto"/>
            <w:bottom w:val="none" w:sz="0" w:space="0" w:color="auto"/>
            <w:right w:val="none" w:sz="0" w:space="0" w:color="auto"/>
          </w:divBdr>
        </w:div>
        <w:div w:id="1401244528">
          <w:marLeft w:val="0"/>
          <w:marRight w:val="0"/>
          <w:marTop w:val="0"/>
          <w:marBottom w:val="0"/>
          <w:divBdr>
            <w:top w:val="none" w:sz="0" w:space="0" w:color="auto"/>
            <w:left w:val="none" w:sz="0" w:space="0" w:color="auto"/>
            <w:bottom w:val="none" w:sz="0" w:space="0" w:color="auto"/>
            <w:right w:val="none" w:sz="0" w:space="0" w:color="auto"/>
          </w:divBdr>
        </w:div>
        <w:div w:id="1447310981">
          <w:marLeft w:val="0"/>
          <w:marRight w:val="0"/>
          <w:marTop w:val="0"/>
          <w:marBottom w:val="0"/>
          <w:divBdr>
            <w:top w:val="none" w:sz="0" w:space="0" w:color="auto"/>
            <w:left w:val="none" w:sz="0" w:space="0" w:color="auto"/>
            <w:bottom w:val="none" w:sz="0" w:space="0" w:color="auto"/>
            <w:right w:val="none" w:sz="0" w:space="0" w:color="auto"/>
          </w:divBdr>
        </w:div>
        <w:div w:id="1500392617">
          <w:marLeft w:val="0"/>
          <w:marRight w:val="0"/>
          <w:marTop w:val="0"/>
          <w:marBottom w:val="0"/>
          <w:divBdr>
            <w:top w:val="none" w:sz="0" w:space="0" w:color="auto"/>
            <w:left w:val="none" w:sz="0" w:space="0" w:color="auto"/>
            <w:bottom w:val="none" w:sz="0" w:space="0" w:color="auto"/>
            <w:right w:val="none" w:sz="0" w:space="0" w:color="auto"/>
          </w:divBdr>
        </w:div>
        <w:div w:id="1610696753">
          <w:marLeft w:val="0"/>
          <w:marRight w:val="0"/>
          <w:marTop w:val="0"/>
          <w:marBottom w:val="0"/>
          <w:divBdr>
            <w:top w:val="none" w:sz="0" w:space="0" w:color="auto"/>
            <w:left w:val="none" w:sz="0" w:space="0" w:color="auto"/>
            <w:bottom w:val="none" w:sz="0" w:space="0" w:color="auto"/>
            <w:right w:val="none" w:sz="0" w:space="0" w:color="auto"/>
          </w:divBdr>
        </w:div>
        <w:div w:id="1649823179">
          <w:marLeft w:val="0"/>
          <w:marRight w:val="0"/>
          <w:marTop w:val="0"/>
          <w:marBottom w:val="0"/>
          <w:divBdr>
            <w:top w:val="none" w:sz="0" w:space="0" w:color="auto"/>
            <w:left w:val="none" w:sz="0" w:space="0" w:color="auto"/>
            <w:bottom w:val="none" w:sz="0" w:space="0" w:color="auto"/>
            <w:right w:val="none" w:sz="0" w:space="0" w:color="auto"/>
          </w:divBdr>
        </w:div>
        <w:div w:id="1658536171">
          <w:marLeft w:val="0"/>
          <w:marRight w:val="0"/>
          <w:marTop w:val="0"/>
          <w:marBottom w:val="0"/>
          <w:divBdr>
            <w:top w:val="none" w:sz="0" w:space="0" w:color="auto"/>
            <w:left w:val="none" w:sz="0" w:space="0" w:color="auto"/>
            <w:bottom w:val="none" w:sz="0" w:space="0" w:color="auto"/>
            <w:right w:val="none" w:sz="0" w:space="0" w:color="auto"/>
          </w:divBdr>
        </w:div>
        <w:div w:id="1688361996">
          <w:marLeft w:val="0"/>
          <w:marRight w:val="0"/>
          <w:marTop w:val="0"/>
          <w:marBottom w:val="0"/>
          <w:divBdr>
            <w:top w:val="none" w:sz="0" w:space="0" w:color="auto"/>
            <w:left w:val="none" w:sz="0" w:space="0" w:color="auto"/>
            <w:bottom w:val="none" w:sz="0" w:space="0" w:color="auto"/>
            <w:right w:val="none" w:sz="0" w:space="0" w:color="auto"/>
          </w:divBdr>
        </w:div>
        <w:div w:id="1934580807">
          <w:marLeft w:val="0"/>
          <w:marRight w:val="0"/>
          <w:marTop w:val="0"/>
          <w:marBottom w:val="0"/>
          <w:divBdr>
            <w:top w:val="none" w:sz="0" w:space="0" w:color="auto"/>
            <w:left w:val="none" w:sz="0" w:space="0" w:color="auto"/>
            <w:bottom w:val="none" w:sz="0" w:space="0" w:color="auto"/>
            <w:right w:val="none" w:sz="0" w:space="0" w:color="auto"/>
          </w:divBdr>
        </w:div>
        <w:div w:id="1940216920">
          <w:marLeft w:val="0"/>
          <w:marRight w:val="0"/>
          <w:marTop w:val="0"/>
          <w:marBottom w:val="0"/>
          <w:divBdr>
            <w:top w:val="none" w:sz="0" w:space="0" w:color="auto"/>
            <w:left w:val="none" w:sz="0" w:space="0" w:color="auto"/>
            <w:bottom w:val="none" w:sz="0" w:space="0" w:color="auto"/>
            <w:right w:val="none" w:sz="0" w:space="0" w:color="auto"/>
          </w:divBdr>
        </w:div>
        <w:div w:id="2032759214">
          <w:marLeft w:val="0"/>
          <w:marRight w:val="0"/>
          <w:marTop w:val="0"/>
          <w:marBottom w:val="0"/>
          <w:divBdr>
            <w:top w:val="none" w:sz="0" w:space="0" w:color="auto"/>
            <w:left w:val="none" w:sz="0" w:space="0" w:color="auto"/>
            <w:bottom w:val="none" w:sz="0" w:space="0" w:color="auto"/>
            <w:right w:val="none" w:sz="0" w:space="0" w:color="auto"/>
          </w:divBdr>
        </w:div>
      </w:divsChild>
    </w:div>
    <w:div w:id="1518735439">
      <w:bodyDiv w:val="1"/>
      <w:marLeft w:val="0"/>
      <w:marRight w:val="0"/>
      <w:marTop w:val="0"/>
      <w:marBottom w:val="0"/>
      <w:divBdr>
        <w:top w:val="none" w:sz="0" w:space="0" w:color="auto"/>
        <w:left w:val="none" w:sz="0" w:space="0" w:color="auto"/>
        <w:bottom w:val="none" w:sz="0" w:space="0" w:color="auto"/>
        <w:right w:val="none" w:sz="0" w:space="0" w:color="auto"/>
      </w:divBdr>
    </w:div>
    <w:div w:id="1983803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tas.gov.au/view/whole/html/inforce/current/act-1979-035" TargetMode="External"/><Relationship Id="rId18" Type="http://schemas.openxmlformats.org/officeDocument/2006/relationships/hyperlink" Target="https://www.legislation.tas.gov.au/view/html/inforce/2022-02-07/act-2002-06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slation.tas.gov.au/view/whole/html/inforce/current/act-1979-035"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legislation.tas.gov.au/view/html/inforce/2022-02-07/act-1993-059"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tas.gov.au/view/html/inforce/2022-02-07/act-1993-023" TargetMode="External"/><Relationship Id="rId20" Type="http://schemas.openxmlformats.org/officeDocument/2006/relationships/hyperlink" Target="https://www.legislation.tas.gov.au/view/whole/html/inforce/current/act-1979-0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tas.gov.au/view/whole/html/inforce/current/act-1979-035"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tas.gov.au/view/html/inforce/2022-02-07/act-2002-0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tas.gov.au/view/whole/html/inforce/current/act-1979-035"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2648\Downloads\TasGov_A4Report_Style8_BlueAngular-CoverImage.dotx" TargetMode="External"/></Relationships>
</file>

<file path=word/theme/theme1.xml><?xml version="1.0" encoding="utf-8"?>
<a:theme xmlns:a="http://schemas.openxmlformats.org/drawingml/2006/main" name="Office Theme">
  <a:themeElements>
    <a:clrScheme name="TasGov Corporate 2021">
      <a:dk1>
        <a:srgbClr val="000000"/>
      </a:dk1>
      <a:lt1>
        <a:srgbClr val="FFFFFF"/>
      </a:lt1>
      <a:dk2>
        <a:srgbClr val="1D374B"/>
      </a:dk2>
      <a:lt2>
        <a:srgbClr val="BDB7B2"/>
      </a:lt2>
      <a:accent1>
        <a:srgbClr val="005B9A"/>
      </a:accent1>
      <a:accent2>
        <a:srgbClr val="ABA238"/>
      </a:accent2>
      <a:accent3>
        <a:srgbClr val="CE362F"/>
      </a:accent3>
      <a:accent4>
        <a:srgbClr val="F38020"/>
      </a:accent4>
      <a:accent5>
        <a:srgbClr val="007479"/>
      </a:accent5>
      <a:accent6>
        <a:srgbClr val="AE349B"/>
      </a:accent6>
      <a:hlink>
        <a:srgbClr val="0076BD"/>
      </a:hlink>
      <a:folHlink>
        <a:srgbClr val="54437E"/>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C42481CF920439FD2F6269558A596" ma:contentTypeVersion="2" ma:contentTypeDescription="Create a new document." ma:contentTypeScope="" ma:versionID="3526d3c8e3324443940663da84ade6ae">
  <xsd:schema xmlns:xsd="http://www.w3.org/2001/XMLSchema" xmlns:xs="http://www.w3.org/2001/XMLSchema" xmlns:p="http://schemas.microsoft.com/office/2006/metadata/properties" xmlns:ns2="93af302c-a006-40a9-a7d2-f161ec63b843" targetNamespace="http://schemas.microsoft.com/office/2006/metadata/properties" ma:root="true" ma:fieldsID="072fbfffc1b5805474bf0f38fe463c58" ns2:_="">
    <xsd:import namespace="93af302c-a006-40a9-a7d2-f161ec63b8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f302c-a006-40a9-a7d2-f161ec63b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3DB24-08DE-4DFF-AF64-C851614EBC9E}"/>
</file>

<file path=customXml/itemProps2.xml><?xml version="1.0" encoding="utf-8"?>
<ds:datastoreItem xmlns:ds="http://schemas.openxmlformats.org/officeDocument/2006/customXml" ds:itemID="{04C1F7E3-4660-459B-961F-B82E0C89815B}">
  <ds:schemaRefs>
    <ds:schemaRef ds:uri="http://schemas.microsoft.com/sharepoint/v3/contenttype/forms"/>
  </ds:schemaRefs>
</ds:datastoreItem>
</file>

<file path=customXml/itemProps3.xml><?xml version="1.0" encoding="utf-8"?>
<ds:datastoreItem xmlns:ds="http://schemas.openxmlformats.org/officeDocument/2006/customXml" ds:itemID="{3A389F54-02CB-6A4D-B91A-BC66F6AF396B}">
  <ds:schemaRefs>
    <ds:schemaRef ds:uri="http://schemas.openxmlformats.org/officeDocument/2006/bibliography"/>
  </ds:schemaRefs>
</ds:datastoreItem>
</file>

<file path=customXml/itemProps4.xml><?xml version="1.0" encoding="utf-8"?>
<ds:datastoreItem xmlns:ds="http://schemas.openxmlformats.org/officeDocument/2006/customXml" ds:itemID="{54B2FD4B-144C-4986-9AC2-DA0C5A4D1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TasGov_A4Report_Style8_BlueAngular-CoverImage</Template>
  <TotalTime>19</TotalTime>
  <Pages>35</Pages>
  <Words>11550</Words>
  <Characters>66185</Characters>
  <Application>Microsoft Office Word</Application>
  <DocSecurity>0</DocSecurity>
  <Lines>1504</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Heather</dc:creator>
  <cp:keywords/>
  <dc:description/>
  <cp:lastModifiedBy>Bannon, Sophie</cp:lastModifiedBy>
  <cp:revision>4</cp:revision>
  <cp:lastPrinted>2022-09-28T04:22:00Z</cp:lastPrinted>
  <dcterms:created xsi:type="dcterms:W3CDTF">2022-09-28T05:59:00Z</dcterms:created>
  <dcterms:modified xsi:type="dcterms:W3CDTF">2022-09-28T07:28:00Z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0x010100EDCC42481CF920439FD2F6269558A596</vt:lpwstr>
  </property>
</Properties>
</file>